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3B7C" w:rsidR="00260DD7" w:rsidRDefault="00260DD7">
      <w:pPr>
        <w:jc w:val="center"/>
        <w:rPr>
          <w:lang w:val="az-Latn-AZ"/>
        </w:rPr>
      </w:pPr>
      <w:bookmarkStart w:name="_GoBack" w:id="0"/>
      <w:bookmarkEnd w:id="0"/>
    </w:p>
    <w:p w:rsidRPr="00D43B7C" w:rsidR="00C11ED7" w:rsidRDefault="00C11ED7">
      <w:pPr>
        <w:jc w:val="center"/>
        <w:rPr>
          <w:lang w:val="az-Latn-AZ"/>
        </w:rPr>
      </w:pPr>
    </w:p>
    <w:p w:rsidR="00607036" w:rsidP="00924A59" w:rsidRDefault="00607036">
      <w:pPr>
        <w:jc w:val="center"/>
        <w:outlineLvl w:val="0"/>
        <w:rPr>
          <w:szCs w:val="24"/>
          <w:lang w:val="az-Latn-AZ"/>
        </w:rPr>
      </w:pPr>
    </w:p>
    <w:p w:rsidR="00607036" w:rsidP="00924A59" w:rsidRDefault="00607036">
      <w:pPr>
        <w:jc w:val="center"/>
        <w:outlineLvl w:val="0"/>
        <w:rPr>
          <w:szCs w:val="24"/>
          <w:lang w:val="az-Latn-AZ"/>
        </w:rPr>
      </w:pPr>
    </w:p>
    <w:p w:rsidR="00A77C80" w:rsidP="00795BE3" w:rsidRDefault="00795BE3">
      <w:pPr>
        <w:pStyle w:val="NormalWeb"/>
        <w:ind w:left="706" w:right="403" w:firstLine="3"/>
        <w:jc w:val="both"/>
        <w:rPr>
          <w:sz w:val="20"/>
          <w:szCs w:val="20"/>
        </w:rPr>
      </w:pPr>
      <w:r>
        <w:rPr>
          <w:sz w:val="20"/>
          <w:szCs w:val="20"/>
        </w:rPr>
        <w:t xml:space="preserve">Avropa Şurası/Avropa İnsan Hüquqları Məhkəməsi, 2012. Bu tərcümə Avropa Şurasının İnsan Hüquqları üzrə Etibar Fondunun dəstəyi ilə həyata keçirilib </w:t>
      </w:r>
      <w:r w:rsidRPr="00A158AA">
        <w:rPr>
          <w:sz w:val="20"/>
          <w:szCs w:val="20"/>
        </w:rPr>
        <w:t>(</w:t>
      </w:r>
      <w:hyperlink w:history="1" r:id="rId7">
        <w:r w:rsidRPr="00A158AA">
          <w:rPr>
            <w:rStyle w:val="Hyperlink"/>
            <w:bCs/>
            <w:sz w:val="20"/>
            <w:szCs w:val="20"/>
          </w:rPr>
          <w:t>www.coe.int/humanrightstrustfund</w:t>
        </w:r>
      </w:hyperlink>
      <w:r w:rsidRPr="00A158AA">
        <w:rPr>
          <w:sz w:val="20"/>
          <w:szCs w:val="20"/>
        </w:rPr>
        <w:t>).</w:t>
      </w:r>
      <w:r>
        <w:rPr>
          <w:sz w:val="20"/>
          <w:szCs w:val="20"/>
        </w:rPr>
        <w:t xml:space="preserve"> Məhkəmə tərcüməyə görə heç bir məsuliyyət daşımır. Əlavə məlumat almaq üçün bu sənədin sonunda verilmiş müəllif hüququna dair tam məlumata baxın.</w:t>
      </w:r>
    </w:p>
    <w:p w:rsidRPr="00A158AA" w:rsidR="00795BE3" w:rsidP="00795BE3" w:rsidRDefault="00795BE3">
      <w:pPr>
        <w:pStyle w:val="NormalWeb"/>
        <w:ind w:left="709" w:right="403"/>
        <w:jc w:val="both"/>
        <w:rPr>
          <w:sz w:val="20"/>
          <w:szCs w:val="20"/>
        </w:rPr>
      </w:pPr>
      <w:r w:rsidRPr="00A158AA">
        <w:rPr>
          <w:sz w:val="20"/>
          <w:szCs w:val="20"/>
        </w:rPr>
        <w:t>© Council of Europe/European Court of Human Rights, 2012. This translation was commissioned with the support of the Human Rights Trust Fund of the Council of Europe (</w:t>
      </w:r>
      <w:hyperlink w:history="1" r:id="rId8">
        <w:r w:rsidRPr="00A158AA">
          <w:rPr>
            <w:rStyle w:val="Hyperlink"/>
            <w:bCs/>
            <w:sz w:val="20"/>
            <w:szCs w:val="20"/>
          </w:rPr>
          <w:t>www.coe.int/humanrightstrustfund</w:t>
        </w:r>
      </w:hyperlink>
      <w:r w:rsidRPr="00A158AA">
        <w:rPr>
          <w:sz w:val="20"/>
          <w:szCs w:val="20"/>
        </w:rPr>
        <w:t>). It does not bind the Court. For further information see the full copyright indication at the end of this document.</w:t>
      </w:r>
    </w:p>
    <w:p w:rsidRPr="00A77C80" w:rsidR="00795BE3" w:rsidP="00795BE3" w:rsidRDefault="00795BE3">
      <w:pPr>
        <w:ind w:left="709" w:right="403"/>
        <w:jc w:val="both"/>
        <w:rPr>
          <w:sz w:val="20"/>
          <w:lang w:val="fr-FR"/>
        </w:rPr>
      </w:pPr>
      <w:r w:rsidRPr="00A77C80">
        <w:rPr>
          <w:sz w:val="20"/>
          <w:lang w:val="fr-FR"/>
        </w:rPr>
        <w:t>© Conseil de l</w:t>
      </w:r>
      <w:r w:rsidR="00E90062">
        <w:rPr>
          <w:sz w:val="20"/>
          <w:lang w:val="fr-FR"/>
        </w:rPr>
        <w:t>’</w:t>
      </w:r>
      <w:r w:rsidRPr="00A77C80">
        <w:rPr>
          <w:sz w:val="20"/>
          <w:lang w:val="fr-FR"/>
        </w:rPr>
        <w:t>Europe/Cour européenne des droits de l</w:t>
      </w:r>
      <w:r w:rsidR="00E90062">
        <w:rPr>
          <w:sz w:val="20"/>
          <w:lang w:val="fr-FR"/>
        </w:rPr>
        <w:t>’</w:t>
      </w:r>
      <w:r w:rsidRPr="00A77C80">
        <w:rPr>
          <w:sz w:val="20"/>
          <w:lang w:val="fr-FR"/>
        </w:rPr>
        <w:t>homme, 2012. La présente traduction a été effectuée avec le soutien du Fonds fiduciaire pour les droits de l</w:t>
      </w:r>
      <w:r w:rsidR="00E90062">
        <w:rPr>
          <w:sz w:val="20"/>
          <w:lang w:val="fr-FR"/>
        </w:rPr>
        <w:t>’</w:t>
      </w:r>
      <w:r w:rsidRPr="00A77C80">
        <w:rPr>
          <w:sz w:val="20"/>
          <w:lang w:val="fr-FR"/>
        </w:rPr>
        <w:t>homme du Conseil de l</w:t>
      </w:r>
      <w:r w:rsidR="00E90062">
        <w:rPr>
          <w:sz w:val="20"/>
          <w:lang w:val="fr-FR"/>
        </w:rPr>
        <w:t>’</w:t>
      </w:r>
      <w:r w:rsidRPr="00A77C80">
        <w:rPr>
          <w:sz w:val="20"/>
          <w:lang w:val="fr-FR"/>
        </w:rPr>
        <w:t>Europe (</w:t>
      </w:r>
      <w:hyperlink w:tooltip="http://www.coe.int/humanrightstrustfund" w:history="1" r:id="rId9">
        <w:r w:rsidRPr="00A77C80">
          <w:rPr>
            <w:rStyle w:val="Hyperlink"/>
            <w:bCs/>
            <w:sz w:val="20"/>
            <w:lang w:val="fr-FR"/>
          </w:rPr>
          <w:t>www.coe.int/humanrightstrustfund</w:t>
        </w:r>
      </w:hyperlink>
      <w:r w:rsidRPr="00A77C80">
        <w:rPr>
          <w:sz w:val="20"/>
          <w:lang w:val="fr-FR"/>
        </w:rPr>
        <w:t>). Elle ne lie pas la Cour. Pour plus de renseignements veuillez lire l</w:t>
      </w:r>
      <w:r w:rsidR="00E90062">
        <w:rPr>
          <w:sz w:val="20"/>
          <w:lang w:val="fr-FR"/>
        </w:rPr>
        <w:t>’</w:t>
      </w:r>
      <w:r w:rsidRPr="00A77C80">
        <w:rPr>
          <w:sz w:val="20"/>
          <w:lang w:val="fr-FR"/>
        </w:rPr>
        <w:t>indication de copyright/droits d</w:t>
      </w:r>
      <w:r w:rsidR="00E90062">
        <w:rPr>
          <w:sz w:val="20"/>
          <w:lang w:val="fr-FR"/>
        </w:rPr>
        <w:t>’</w:t>
      </w:r>
      <w:r w:rsidRPr="00A77C80">
        <w:rPr>
          <w:sz w:val="20"/>
          <w:lang w:val="fr-FR"/>
        </w:rPr>
        <w:t>auteur à la fin du présent document.</w:t>
      </w:r>
    </w:p>
    <w:p w:rsidR="00795BE3" w:rsidP="00795BE3" w:rsidRDefault="00795BE3">
      <w:pPr>
        <w:pStyle w:val="NormalWeb"/>
        <w:ind w:left="706" w:right="403" w:firstLine="3"/>
        <w:jc w:val="both"/>
        <w:rPr>
          <w:b/>
          <w:sz w:val="20"/>
          <w:szCs w:val="20"/>
        </w:rPr>
      </w:pPr>
    </w:p>
    <w:p w:rsidR="00795BE3" w:rsidP="00924A59" w:rsidRDefault="00795BE3">
      <w:pPr>
        <w:jc w:val="center"/>
        <w:outlineLvl w:val="0"/>
        <w:rPr>
          <w:szCs w:val="24"/>
          <w:lang w:val="az-Latn-AZ"/>
        </w:rPr>
      </w:pPr>
    </w:p>
    <w:p w:rsidR="00607036" w:rsidP="00924A59" w:rsidRDefault="00607036">
      <w:pPr>
        <w:jc w:val="center"/>
        <w:outlineLvl w:val="0"/>
        <w:rPr>
          <w:szCs w:val="24"/>
          <w:lang w:val="az-Latn-AZ"/>
        </w:rPr>
      </w:pPr>
    </w:p>
    <w:p w:rsidR="00607036" w:rsidP="00924A59" w:rsidRDefault="00607036">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00F636EB" w:rsidP="00924A59" w:rsidRDefault="00F636EB">
      <w:pPr>
        <w:jc w:val="center"/>
        <w:outlineLvl w:val="0"/>
        <w:rPr>
          <w:szCs w:val="24"/>
          <w:lang w:val="az-Latn-AZ"/>
        </w:rPr>
      </w:pPr>
    </w:p>
    <w:p w:rsidRPr="00D43B7C" w:rsidR="00260DD7" w:rsidP="00924A59" w:rsidRDefault="000338EC">
      <w:pPr>
        <w:jc w:val="center"/>
        <w:outlineLvl w:val="0"/>
        <w:rPr>
          <w:szCs w:val="24"/>
          <w:lang w:val="az-Latn-AZ"/>
        </w:rPr>
      </w:pPr>
      <w:r w:rsidRPr="00D43B7C">
        <w:rPr>
          <w:szCs w:val="24"/>
          <w:lang w:val="az-Latn-AZ"/>
        </w:rPr>
        <w:t>DÖRDÜNCÜ BÖLMƏ</w:t>
      </w:r>
    </w:p>
    <w:p w:rsidRPr="00D43B7C" w:rsidR="00572165" w:rsidRDefault="00572165">
      <w:pPr>
        <w:jc w:val="center"/>
        <w:rPr>
          <w:szCs w:val="24"/>
          <w:lang w:val="az-Latn-AZ"/>
        </w:rPr>
      </w:pPr>
    </w:p>
    <w:p w:rsidRPr="00D43B7C" w:rsidR="00572165" w:rsidRDefault="00572165">
      <w:pPr>
        <w:jc w:val="center"/>
        <w:rPr>
          <w:szCs w:val="24"/>
          <w:lang w:val="az-Latn-AZ"/>
        </w:rPr>
      </w:pPr>
    </w:p>
    <w:p w:rsidR="00260DD7" w:rsidRDefault="000338EC">
      <w:pPr>
        <w:jc w:val="center"/>
        <w:rPr>
          <w:b/>
          <w:szCs w:val="24"/>
          <w:lang w:val="az-Latn-AZ"/>
        </w:rPr>
      </w:pPr>
      <w:bookmarkStart w:name="To" w:id="1"/>
      <w:r w:rsidRPr="00D43B7C">
        <w:rPr>
          <w:b/>
          <w:szCs w:val="24"/>
          <w:lang w:val="az-Latn-AZ"/>
        </w:rPr>
        <w:t>VİSER VƏ BİKOS BETEİLİQUNQEN GmbH</w:t>
      </w:r>
      <w:bookmarkEnd w:id="1"/>
      <w:r w:rsidR="00A77C80">
        <w:rPr>
          <w:b/>
          <w:szCs w:val="24"/>
          <w:lang w:val="az-Latn-AZ"/>
        </w:rPr>
        <w:t xml:space="preserve"> </w:t>
      </w:r>
      <w:r w:rsidR="004F66C0">
        <w:rPr>
          <w:b/>
          <w:szCs w:val="24"/>
          <w:lang w:val="az-Latn-AZ"/>
        </w:rPr>
        <w:t>AVSTRİYAYA qarşı</w:t>
      </w:r>
      <w:r w:rsidRPr="00D43B7C">
        <w:rPr>
          <w:b/>
          <w:szCs w:val="24"/>
          <w:lang w:val="az-Latn-AZ"/>
        </w:rPr>
        <w:t xml:space="preserve"> İŞİ</w:t>
      </w:r>
    </w:p>
    <w:p w:rsidR="004F66C0" w:rsidRDefault="004F66C0">
      <w:pPr>
        <w:jc w:val="center"/>
        <w:rPr>
          <w:b/>
          <w:szCs w:val="24"/>
          <w:lang w:val="az-Latn-AZ"/>
        </w:rPr>
      </w:pPr>
    </w:p>
    <w:p w:rsidRPr="00D43B7C" w:rsidR="004F66C0" w:rsidRDefault="004F66C0">
      <w:pPr>
        <w:jc w:val="center"/>
        <w:rPr>
          <w:b/>
          <w:szCs w:val="24"/>
          <w:lang w:val="az-Latn-AZ"/>
        </w:rPr>
      </w:pPr>
      <w:r>
        <w:rPr>
          <w:b/>
          <w:szCs w:val="24"/>
          <w:lang w:val="az-Latn-AZ"/>
        </w:rPr>
        <w:t xml:space="preserve">(CASE OF </w:t>
      </w:r>
      <w:r w:rsidRPr="00D43B7C">
        <w:rPr>
          <w:b/>
          <w:szCs w:val="24"/>
          <w:lang w:val="az-Latn-AZ"/>
        </w:rPr>
        <w:t>WIESER AND BICOS BETEILIGUNGEN GmbH</w:t>
      </w:r>
      <w:r>
        <w:rPr>
          <w:b/>
          <w:szCs w:val="24"/>
          <w:lang w:val="az-Latn-AZ"/>
        </w:rPr>
        <w:t xml:space="preserve"> v. AUSTRİA)</w:t>
      </w:r>
    </w:p>
    <w:p w:rsidRPr="00D43B7C" w:rsidR="00260DD7" w:rsidRDefault="00260DD7">
      <w:pPr>
        <w:jc w:val="center"/>
        <w:rPr>
          <w:szCs w:val="24"/>
          <w:lang w:val="az-Latn-AZ"/>
        </w:rPr>
      </w:pPr>
    </w:p>
    <w:p w:rsidRPr="00D43B7C" w:rsidR="00C11ED7" w:rsidRDefault="00C11ED7">
      <w:pPr>
        <w:jc w:val="center"/>
        <w:rPr>
          <w:szCs w:val="24"/>
          <w:lang w:val="az-Latn-AZ"/>
        </w:rPr>
      </w:pPr>
    </w:p>
    <w:p w:rsidRPr="00D43B7C" w:rsidR="00260DD7" w:rsidRDefault="00260DD7">
      <w:pPr>
        <w:jc w:val="center"/>
        <w:rPr>
          <w:i/>
          <w:szCs w:val="24"/>
          <w:lang w:val="az-Latn-AZ"/>
        </w:rPr>
      </w:pPr>
      <w:r w:rsidRPr="00D43B7C">
        <w:rPr>
          <w:i/>
          <w:szCs w:val="24"/>
          <w:lang w:val="az-Latn-AZ"/>
        </w:rPr>
        <w:t>(</w:t>
      </w:r>
      <w:r w:rsidRPr="00D43B7C" w:rsidR="000911D8">
        <w:rPr>
          <w:i/>
          <w:szCs w:val="24"/>
          <w:lang w:val="az-Latn-AZ"/>
        </w:rPr>
        <w:t>74336/01</w:t>
      </w:r>
      <w:r w:rsidRPr="00D43B7C" w:rsidR="000338EC">
        <w:rPr>
          <w:i/>
          <w:szCs w:val="24"/>
          <w:lang w:val="az-Latn-AZ"/>
        </w:rPr>
        <w:t xml:space="preserve"> saylı ərizə)</w:t>
      </w:r>
    </w:p>
    <w:p w:rsidRPr="00D43B7C" w:rsidR="00572165" w:rsidP="00572165" w:rsidRDefault="00572165">
      <w:pPr>
        <w:jc w:val="center"/>
        <w:rPr>
          <w:szCs w:val="24"/>
          <w:lang w:val="az-Latn-AZ"/>
        </w:rPr>
      </w:pPr>
    </w:p>
    <w:p w:rsidRPr="00D43B7C" w:rsidR="00572165" w:rsidP="00572165" w:rsidRDefault="00572165">
      <w:pPr>
        <w:jc w:val="center"/>
        <w:rPr>
          <w:szCs w:val="24"/>
          <w:lang w:val="az-Latn-AZ"/>
        </w:rPr>
      </w:pPr>
    </w:p>
    <w:p w:rsidRPr="00D43B7C" w:rsidR="00572165" w:rsidP="00572165" w:rsidRDefault="000338EC">
      <w:pPr>
        <w:jc w:val="center"/>
        <w:rPr>
          <w:szCs w:val="24"/>
          <w:lang w:val="az-Latn-AZ"/>
        </w:rPr>
      </w:pPr>
      <w:r w:rsidRPr="00D43B7C">
        <w:rPr>
          <w:szCs w:val="24"/>
          <w:lang w:val="az-Latn-AZ"/>
        </w:rPr>
        <w:t>QƏRAR</w:t>
      </w:r>
    </w:p>
    <w:p w:rsidRPr="00D43B7C" w:rsidR="00572165" w:rsidP="00572165" w:rsidRDefault="00572165">
      <w:pPr>
        <w:jc w:val="center"/>
        <w:rPr>
          <w:szCs w:val="24"/>
          <w:lang w:val="az-Latn-AZ"/>
        </w:rPr>
      </w:pPr>
    </w:p>
    <w:p w:rsidRPr="00D43B7C" w:rsidR="00572165" w:rsidP="00572165" w:rsidRDefault="00572165">
      <w:pPr>
        <w:jc w:val="center"/>
        <w:rPr>
          <w:szCs w:val="24"/>
          <w:lang w:val="az-Latn-AZ"/>
        </w:rPr>
      </w:pPr>
    </w:p>
    <w:p w:rsidRPr="00D43B7C" w:rsidR="000338EC" w:rsidP="000338EC" w:rsidRDefault="000338EC">
      <w:pPr>
        <w:pStyle w:val="JuPara"/>
        <w:ind w:firstLine="0"/>
        <w:jc w:val="center"/>
        <w:rPr>
          <w:lang w:val="az-Latn-AZ" w:eastAsia="en-US"/>
        </w:rPr>
      </w:pPr>
      <w:r w:rsidRPr="00D43B7C">
        <w:rPr>
          <w:lang w:val="az-Latn-AZ" w:eastAsia="en-US"/>
        </w:rPr>
        <w:t>STRASBURQ</w:t>
      </w:r>
    </w:p>
    <w:p w:rsidRPr="00D43B7C" w:rsidR="00572165" w:rsidP="00572165" w:rsidRDefault="00572165">
      <w:pPr>
        <w:jc w:val="center"/>
        <w:rPr>
          <w:szCs w:val="24"/>
          <w:lang w:val="az-Latn-AZ"/>
        </w:rPr>
      </w:pPr>
    </w:p>
    <w:p w:rsidRPr="00D43B7C" w:rsidR="00C11ED7" w:rsidP="00572165" w:rsidRDefault="00C11ED7">
      <w:pPr>
        <w:jc w:val="center"/>
        <w:rPr>
          <w:szCs w:val="24"/>
          <w:lang w:val="az-Latn-AZ"/>
        </w:rPr>
      </w:pPr>
    </w:p>
    <w:p w:rsidRPr="00D43B7C" w:rsidR="00C11ED7" w:rsidP="00572165" w:rsidRDefault="00C11ED7">
      <w:pPr>
        <w:jc w:val="center"/>
        <w:rPr>
          <w:szCs w:val="24"/>
          <w:lang w:val="az-Latn-AZ"/>
        </w:rPr>
      </w:pPr>
    </w:p>
    <w:p w:rsidRPr="00D43B7C" w:rsidR="00572165" w:rsidP="00572165" w:rsidRDefault="00572165">
      <w:pPr>
        <w:jc w:val="center"/>
        <w:rPr>
          <w:szCs w:val="24"/>
          <w:lang w:val="az-Latn-AZ"/>
        </w:rPr>
      </w:pPr>
      <w:r w:rsidRPr="00D43B7C">
        <w:rPr>
          <w:szCs w:val="24"/>
          <w:lang w:val="az-Latn-AZ"/>
        </w:rPr>
        <w:t xml:space="preserve">16 </w:t>
      </w:r>
      <w:r w:rsidRPr="00D43B7C" w:rsidR="000338EC">
        <w:rPr>
          <w:szCs w:val="24"/>
          <w:lang w:val="az-Latn-AZ"/>
        </w:rPr>
        <w:t xml:space="preserve">oktyabr </w:t>
      </w:r>
      <w:r w:rsidRPr="00D43B7C">
        <w:rPr>
          <w:szCs w:val="24"/>
          <w:lang w:val="az-Latn-AZ"/>
        </w:rPr>
        <w:t>2007</w:t>
      </w:r>
      <w:r w:rsidRPr="00D43B7C" w:rsidR="000338EC">
        <w:rPr>
          <w:szCs w:val="24"/>
          <w:lang w:val="az-Latn-AZ"/>
        </w:rPr>
        <w:t>-ci il</w:t>
      </w:r>
    </w:p>
    <w:p w:rsidRPr="00D43B7C" w:rsidR="00572165" w:rsidP="00572165" w:rsidRDefault="00572165">
      <w:pPr>
        <w:jc w:val="center"/>
        <w:rPr>
          <w:szCs w:val="24"/>
          <w:lang w:val="az-Latn-AZ"/>
        </w:rPr>
      </w:pPr>
    </w:p>
    <w:p w:rsidRPr="00D43B7C" w:rsidR="00C11ED7" w:rsidP="00C11ED7" w:rsidRDefault="00C11ED7">
      <w:pPr>
        <w:jc w:val="center"/>
        <w:rPr>
          <w:color w:val="FF0000"/>
          <w:lang w:val="az-Latn-AZ"/>
        </w:rPr>
      </w:pPr>
    </w:p>
    <w:p w:rsidRPr="00D43B7C" w:rsidR="00C11ED7" w:rsidP="00C11ED7" w:rsidRDefault="00C11ED7">
      <w:pPr>
        <w:jc w:val="center"/>
        <w:rPr>
          <w:color w:val="FF0000"/>
          <w:lang w:val="az-Latn-AZ"/>
        </w:rPr>
      </w:pPr>
    </w:p>
    <w:p w:rsidRPr="00D43B7C" w:rsidR="00C11ED7" w:rsidP="00C11ED7" w:rsidRDefault="000338EC">
      <w:pPr>
        <w:jc w:val="center"/>
        <w:rPr>
          <w:b/>
          <w:color w:val="FF0000"/>
          <w:sz w:val="36"/>
          <w:u w:val="single"/>
          <w:lang w:val="az-Latn-AZ"/>
        </w:rPr>
      </w:pPr>
      <w:r w:rsidRPr="00D43B7C">
        <w:rPr>
          <w:b/>
          <w:color w:val="FF0000"/>
          <w:sz w:val="36"/>
          <w:u w:val="single"/>
          <w:lang w:val="az-Latn-AZ"/>
        </w:rPr>
        <w:t>Y</w:t>
      </w:r>
      <w:r w:rsidR="00282692">
        <w:rPr>
          <w:b/>
          <w:color w:val="FF0000"/>
          <w:sz w:val="36"/>
          <w:u w:val="single"/>
          <w:lang w:val="az-Latn-AZ"/>
        </w:rPr>
        <w:t>E</w:t>
      </w:r>
      <w:r w:rsidRPr="00D43B7C">
        <w:rPr>
          <w:b/>
          <w:color w:val="FF0000"/>
          <w:sz w:val="36"/>
          <w:u w:val="single"/>
          <w:lang w:val="az-Latn-AZ"/>
        </w:rPr>
        <w:t>KUN</w:t>
      </w:r>
    </w:p>
    <w:p w:rsidRPr="00D43B7C" w:rsidR="00C11ED7" w:rsidP="00C11ED7" w:rsidRDefault="00C11ED7">
      <w:pPr>
        <w:jc w:val="center"/>
        <w:rPr>
          <w:color w:val="FF0000"/>
          <w:lang w:val="az-Latn-AZ"/>
        </w:rPr>
      </w:pPr>
    </w:p>
    <w:p w:rsidRPr="00D43B7C" w:rsidR="00C11ED7" w:rsidP="00C11ED7" w:rsidRDefault="00C11ED7">
      <w:pPr>
        <w:jc w:val="center"/>
        <w:rPr>
          <w:color w:val="FF0000"/>
          <w:lang w:val="az-Latn-AZ"/>
        </w:rPr>
      </w:pPr>
    </w:p>
    <w:p w:rsidRPr="00D43B7C" w:rsidR="00C11ED7" w:rsidP="00C11ED7" w:rsidRDefault="00C11ED7">
      <w:pPr>
        <w:jc w:val="center"/>
        <w:rPr>
          <w:i/>
          <w:color w:val="FF0000"/>
          <w:sz w:val="36"/>
          <w:lang w:val="az-Latn-AZ"/>
        </w:rPr>
      </w:pPr>
      <w:r w:rsidRPr="00D43B7C">
        <w:rPr>
          <w:i/>
          <w:color w:val="FF0000"/>
          <w:sz w:val="36"/>
          <w:lang w:val="az-Latn-AZ"/>
        </w:rPr>
        <w:t>16/01/2008</w:t>
      </w:r>
    </w:p>
    <w:p w:rsidRPr="00D43B7C" w:rsidR="00C11ED7" w:rsidP="00C11ED7" w:rsidRDefault="00C11ED7">
      <w:pPr>
        <w:jc w:val="center"/>
        <w:rPr>
          <w:color w:val="FF0000"/>
          <w:lang w:val="az-Latn-AZ"/>
        </w:rPr>
      </w:pPr>
      <w:bookmarkStart w:name="OLE_LINK1" w:id="2"/>
      <w:bookmarkStart w:name="OLE_LINK2" w:id="3"/>
      <w:bookmarkEnd w:id="2"/>
      <w:bookmarkEnd w:id="3"/>
    </w:p>
    <w:p w:rsidRPr="00D43B7C" w:rsidR="00572165" w:rsidP="00572165" w:rsidRDefault="00572165">
      <w:pPr>
        <w:jc w:val="both"/>
        <w:rPr>
          <w:i/>
          <w:lang w:val="az-Latn-AZ"/>
        </w:rPr>
      </w:pPr>
    </w:p>
    <w:p w:rsidRPr="00D43B7C" w:rsidR="00572165" w:rsidP="00572165" w:rsidRDefault="00572165">
      <w:pPr>
        <w:jc w:val="both"/>
        <w:rPr>
          <w:i/>
          <w:lang w:val="az-Latn-AZ"/>
        </w:rPr>
        <w:sectPr w:rsidRPr="00D43B7C" w:rsidR="00572165" w:rsidSect="00572165">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78"/>
        </w:sectPr>
      </w:pPr>
    </w:p>
    <w:p w:rsidR="00A77C80" w:rsidP="000338EC" w:rsidRDefault="000338EC">
      <w:pPr>
        <w:pStyle w:val="JuCase"/>
        <w:rPr>
          <w:lang w:val="az-Latn-AZ"/>
        </w:rPr>
      </w:pPr>
      <w:r w:rsidRPr="00D43B7C">
        <w:rPr>
          <w:lang w:val="az-Latn-AZ"/>
        </w:rPr>
        <w:t>Viser və Bikos Beteiliqunqen GmbH Avstriyaya qarşı məhkəmə işinə,</w:t>
      </w:r>
    </w:p>
    <w:p w:rsidRPr="00D43B7C" w:rsidR="000338EC" w:rsidP="000338EC" w:rsidRDefault="000338EC">
      <w:pPr>
        <w:pStyle w:val="JuPara"/>
        <w:rPr>
          <w:lang w:val="az-Latn-AZ"/>
        </w:rPr>
      </w:pPr>
      <w:r w:rsidRPr="00D43B7C">
        <w:rPr>
          <w:lang w:val="az-Latn-AZ"/>
        </w:rPr>
        <w:t>Aşağıdakı tərkibdən:</w:t>
      </w:r>
    </w:p>
    <w:p w:rsidR="00A77C80" w:rsidP="000338EC" w:rsidRDefault="00FF1213">
      <w:pPr>
        <w:rPr>
          <w:i/>
          <w:lang w:val="az-Latn-AZ"/>
        </w:rPr>
      </w:pPr>
      <w:r w:rsidRPr="00D43B7C">
        <w:rPr>
          <w:i/>
          <w:lang w:val="az-Latn-AZ"/>
        </w:rPr>
        <w:t>Nicolas Bratza</w:t>
      </w:r>
      <w:r w:rsidRPr="00D43B7C" w:rsidR="000338EC">
        <w:rPr>
          <w:lang w:val="az-Latn-AZ"/>
        </w:rPr>
        <w:t>,</w:t>
      </w:r>
      <w:r w:rsidRPr="00D43B7C" w:rsidR="000338EC">
        <w:rPr>
          <w:i/>
          <w:lang w:val="az-Latn-AZ"/>
        </w:rPr>
        <w:t xml:space="preserve"> Sədr</w:t>
      </w:r>
      <w:r w:rsidRPr="00D43B7C" w:rsidR="000338EC">
        <w:rPr>
          <w:lang w:val="az-Latn-AZ"/>
        </w:rPr>
        <w:t>,</w:t>
      </w:r>
      <w:r w:rsidRPr="00D43B7C" w:rsidR="000338EC">
        <w:rPr>
          <w:i/>
          <w:lang w:val="az-Latn-AZ"/>
        </w:rPr>
        <w:br/>
        <w:t>Snejana Botoucharova</w:t>
      </w:r>
      <w:r w:rsidRPr="00D43B7C" w:rsidR="000338EC">
        <w:rPr>
          <w:lang w:val="az-Latn-AZ"/>
        </w:rPr>
        <w:t>,</w:t>
      </w:r>
      <w:r w:rsidRPr="00D43B7C" w:rsidR="000338EC">
        <w:rPr>
          <w:i/>
          <w:lang w:val="az-Latn-AZ"/>
        </w:rPr>
        <w:br/>
        <w:t>Josep Casadevall</w:t>
      </w:r>
      <w:r w:rsidRPr="00D43B7C" w:rsidR="000338EC">
        <w:rPr>
          <w:lang w:val="az-Latn-AZ"/>
        </w:rPr>
        <w:t>,</w:t>
      </w:r>
      <w:r w:rsidRPr="00D43B7C" w:rsidR="000338EC">
        <w:rPr>
          <w:i/>
          <w:lang w:val="az-Latn-AZ"/>
        </w:rPr>
        <w:br/>
        <w:t>Giovanni Bonello</w:t>
      </w:r>
      <w:r w:rsidRPr="00D43B7C" w:rsidR="000338EC">
        <w:rPr>
          <w:lang w:val="az-Latn-AZ"/>
        </w:rPr>
        <w:t>,</w:t>
      </w:r>
      <w:r w:rsidRPr="00D43B7C" w:rsidR="000338EC">
        <w:rPr>
          <w:i/>
          <w:lang w:val="az-Latn-AZ"/>
        </w:rPr>
        <w:br/>
        <w:t>Elisabeth Steiner</w:t>
      </w:r>
      <w:r w:rsidRPr="00D43B7C" w:rsidR="000338EC">
        <w:rPr>
          <w:lang w:val="az-Latn-AZ"/>
        </w:rPr>
        <w:t>,</w:t>
      </w:r>
      <w:r w:rsidRPr="00D43B7C" w:rsidR="000338EC">
        <w:rPr>
          <w:i/>
          <w:lang w:val="az-Latn-AZ"/>
        </w:rPr>
        <w:br/>
        <w:t>Stanislav Pavlovschi</w:t>
      </w:r>
      <w:r w:rsidRPr="00D43B7C" w:rsidR="000338EC">
        <w:rPr>
          <w:lang w:val="az-Latn-AZ"/>
        </w:rPr>
        <w:t>,</w:t>
      </w:r>
      <w:r w:rsidRPr="00D43B7C" w:rsidR="000338EC">
        <w:rPr>
          <w:i/>
          <w:lang w:val="az-Latn-AZ"/>
        </w:rPr>
        <w:br/>
        <w:t>Lech Garlicki</w:t>
      </w:r>
      <w:r w:rsidRPr="00D43B7C" w:rsidR="000338EC">
        <w:rPr>
          <w:lang w:val="az-Latn-AZ"/>
        </w:rPr>
        <w:t>,</w:t>
      </w:r>
    </w:p>
    <w:p w:rsidR="006A33BC" w:rsidP="00E753AF" w:rsidRDefault="000338EC">
      <w:pPr>
        <w:rPr>
          <w:i/>
          <w:lang w:val="az-Latn-AZ"/>
        </w:rPr>
      </w:pPr>
      <w:r w:rsidRPr="00D43B7C">
        <w:rPr>
          <w:i/>
          <w:lang w:val="az-Latn-AZ"/>
        </w:rPr>
        <w:t>Ljiljana Mijović</w:t>
      </w:r>
      <w:r w:rsidRPr="00D43B7C">
        <w:rPr>
          <w:lang w:val="az-Latn-AZ"/>
        </w:rPr>
        <w:t>,</w:t>
      </w:r>
      <w:r w:rsidRPr="00D43B7C">
        <w:rPr>
          <w:i/>
          <w:lang w:val="az-Latn-AZ"/>
        </w:rPr>
        <w:t xml:space="preserve"> hakimlər,</w:t>
      </w:r>
      <w:r w:rsidRPr="00D43B7C">
        <w:rPr>
          <w:i/>
          <w:lang w:val="az-Latn-AZ"/>
        </w:rPr>
        <w:br/>
      </w:r>
      <w:r w:rsidRPr="00D43B7C">
        <w:rPr>
          <w:lang w:val="az-Latn-AZ"/>
        </w:rPr>
        <w:t xml:space="preserve">və </w:t>
      </w:r>
      <w:r w:rsidRPr="00D43B7C">
        <w:rPr>
          <w:i/>
          <w:lang w:val="az-Latn-AZ"/>
        </w:rPr>
        <w:t>Lawrence Early</w:t>
      </w:r>
      <w:r w:rsidRPr="00D43B7C">
        <w:rPr>
          <w:lang w:val="az-Latn-AZ"/>
        </w:rPr>
        <w:t xml:space="preserve">, </w:t>
      </w:r>
      <w:r w:rsidRPr="00D43B7C">
        <w:rPr>
          <w:i/>
          <w:lang w:val="az-Latn-AZ"/>
        </w:rPr>
        <w:t>Bölmə Katibi</w:t>
      </w:r>
      <w:r w:rsidR="006A33BC">
        <w:rPr>
          <w:i/>
          <w:lang w:val="az-Latn-AZ"/>
        </w:rPr>
        <w:t>,</w:t>
      </w:r>
    </w:p>
    <w:p w:rsidRPr="006A33BC" w:rsidR="000338EC" w:rsidP="00E753AF" w:rsidRDefault="000338EC">
      <w:pPr>
        <w:rPr>
          <w:i/>
          <w:lang w:val="az-Latn-AZ"/>
        </w:rPr>
      </w:pPr>
      <w:r w:rsidRPr="00D43B7C">
        <w:rPr>
          <w:i/>
          <w:lang w:val="az-Latn-AZ"/>
        </w:rPr>
        <w:t xml:space="preserve"> </w:t>
      </w:r>
      <w:r w:rsidRPr="00D43B7C">
        <w:rPr>
          <w:lang w:val="az-Latn-AZ"/>
        </w:rPr>
        <w:t>ibarət Palatada baxan Avropa İnsan Hüquqları Məhkəməsi,</w:t>
      </w:r>
    </w:p>
    <w:p w:rsidRPr="00D43B7C" w:rsidR="000338EC" w:rsidP="006A33BC" w:rsidRDefault="000338EC">
      <w:pPr>
        <w:rPr>
          <w:lang w:val="az-Latn-AZ"/>
        </w:rPr>
      </w:pPr>
      <w:r w:rsidRPr="00D43B7C">
        <w:rPr>
          <w:lang w:val="az-Latn-AZ"/>
        </w:rPr>
        <w:t>25 sentyabr 2007-ci il tarixdə qapalı müşavirə keçirərək,</w:t>
      </w:r>
    </w:p>
    <w:p w:rsidRPr="00D43B7C" w:rsidR="000338EC" w:rsidP="006A33BC" w:rsidRDefault="000338EC">
      <w:pPr>
        <w:pStyle w:val="JuPara"/>
        <w:ind w:firstLine="0"/>
        <w:rPr>
          <w:lang w:val="az-Latn-AZ"/>
        </w:rPr>
      </w:pPr>
      <w:r w:rsidRPr="00D43B7C">
        <w:rPr>
          <w:lang w:val="az-Latn-AZ"/>
        </w:rPr>
        <w:t>Həmin tarixdə qəbul edilən aşağıdakı qərarı çıxarmışdır:</w:t>
      </w:r>
    </w:p>
    <w:p w:rsidRPr="00D43B7C" w:rsidR="00260DD7" w:rsidP="00924A59" w:rsidRDefault="005B18CF">
      <w:pPr>
        <w:pStyle w:val="JuHHead"/>
        <w:outlineLvl w:val="0"/>
        <w:rPr>
          <w:lang w:val="az-Latn-AZ"/>
        </w:rPr>
      </w:pPr>
      <w:r w:rsidRPr="00D43B7C">
        <w:rPr>
          <w:lang w:val="az-Latn-AZ"/>
        </w:rPr>
        <w:t>PROSE</w:t>
      </w:r>
      <w:r w:rsidR="006A33BC">
        <w:rPr>
          <w:lang w:val="az-Latn-AZ"/>
        </w:rPr>
        <w:t>S</w:t>
      </w:r>
    </w:p>
    <w:p w:rsidR="00A77C80" w:rsidP="00DC17B0"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w:t>
      </w:r>
      <w:r w:rsidRPr="00D43B7C">
        <w:rPr>
          <w:lang w:val="az-Latn-AZ"/>
        </w:rPr>
        <w:fldChar w:fldCharType="end"/>
      </w:r>
      <w:r w:rsidRPr="00D43B7C" w:rsidR="00260DD7">
        <w:rPr>
          <w:lang w:val="az-Latn-AZ"/>
        </w:rPr>
        <w:t>.  </w:t>
      </w:r>
      <w:r w:rsidRPr="00D43B7C" w:rsidR="006F28B9">
        <w:rPr>
          <w:lang w:val="az-Latn-AZ"/>
        </w:rPr>
        <w:t>İş İnsan hüquqları və əsas azadlıqları</w:t>
      </w:r>
      <w:r w:rsidR="006A33BC">
        <w:rPr>
          <w:lang w:val="az-Latn-AZ"/>
        </w:rPr>
        <w:t>nın müdafiəsi</w:t>
      </w:r>
      <w:r w:rsidRPr="00D43B7C" w:rsidR="006F28B9">
        <w:rPr>
          <w:lang w:val="az-Latn-AZ"/>
        </w:rPr>
        <w:t xml:space="preserve"> haqqında Avropa Konvensiyasının (“Konvensiya”) 34-cü maddəsinə əsasən Avstriya vətəndaşı cənab Qotfrid Viser </w:t>
      </w:r>
      <w:r w:rsidRPr="00D43B7C" w:rsidR="006F28B9">
        <w:rPr>
          <w:i/>
          <w:lang w:val="az-Latn-AZ"/>
        </w:rPr>
        <w:t>(Gottfried Wieser)</w:t>
      </w:r>
      <w:r w:rsidRPr="00D43B7C" w:rsidR="006F28B9">
        <w:rPr>
          <w:lang w:val="az-Latn-AZ"/>
        </w:rPr>
        <w:t xml:space="preserve"> və</w:t>
      </w:r>
      <w:r w:rsidRPr="00D43B7C" w:rsidR="009B7286">
        <w:rPr>
          <w:lang w:val="az-Latn-AZ"/>
        </w:rPr>
        <w:t xml:space="preserve"> baş ofisi Zalzburq şəhərində yerləşən</w:t>
      </w:r>
      <w:r w:rsidRPr="00D43B7C" w:rsidR="006F28B9">
        <w:rPr>
          <w:lang w:val="az-Latn-AZ"/>
        </w:rPr>
        <w:t xml:space="preserve"> məhdud məsuliyyətli cəmiyyət Bikos Beteiliqunqen GmbH </w:t>
      </w:r>
      <w:r w:rsidRPr="00D43B7C" w:rsidR="006F28B9">
        <w:rPr>
          <w:i/>
          <w:lang w:val="az-Latn-AZ"/>
        </w:rPr>
        <w:t>(Bicos Beteiligungen GmbH)</w:t>
      </w:r>
      <w:r w:rsidRPr="00D43B7C" w:rsidR="006F28B9">
        <w:rPr>
          <w:lang w:val="az-Latn-AZ"/>
        </w:rPr>
        <w:t xml:space="preserve"> (“ərizəçilər”) tərəfindən 3 avqust 2001-ci ildə Məhkəməyə təqdim edilmiş Avstriya Respublikasına qarşı ərizə (</w:t>
      </w:r>
      <w:r w:rsidR="006A33BC">
        <w:rPr>
          <w:lang w:val="az-Latn-AZ"/>
        </w:rPr>
        <w:t>no</w:t>
      </w:r>
      <w:r w:rsidRPr="00D43B7C" w:rsidR="006F28B9">
        <w:rPr>
          <w:rFonts w:cs="Times New Roman CYR"/>
          <w:lang w:val="az-Latn-AZ"/>
        </w:rPr>
        <w:t xml:space="preserve"> </w:t>
      </w:r>
      <w:r w:rsidRPr="00D43B7C" w:rsidR="006F28B9">
        <w:rPr>
          <w:lang w:val="az-Latn-AZ"/>
        </w:rPr>
        <w:t>74336/01</w:t>
      </w:r>
      <w:r w:rsidRPr="00D43B7C" w:rsidR="006F28B9">
        <w:rPr>
          <w:bCs/>
          <w:lang w:val="az-Latn-AZ"/>
        </w:rPr>
        <w:t xml:space="preserve">) </w:t>
      </w:r>
      <w:r w:rsidRPr="00D43B7C" w:rsidR="006F28B9">
        <w:rPr>
          <w:lang w:val="az-Latn-AZ"/>
        </w:rPr>
        <w:t>əsasında açılmışdır.</w:t>
      </w:r>
    </w:p>
    <w:p w:rsidRPr="00D43B7C" w:rsidR="00986F16"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w:t>
      </w:r>
      <w:r w:rsidRPr="00D43B7C">
        <w:rPr>
          <w:lang w:val="az-Latn-AZ"/>
        </w:rPr>
        <w:fldChar w:fldCharType="end"/>
      </w:r>
      <w:r w:rsidRPr="00D43B7C" w:rsidR="00260DD7">
        <w:rPr>
          <w:lang w:val="az-Latn-AZ"/>
        </w:rPr>
        <w:t>. </w:t>
      </w:r>
      <w:r w:rsidRPr="00D43B7C" w:rsidR="00986F16">
        <w:rPr>
          <w:lang w:val="az-Latn-AZ"/>
        </w:rPr>
        <w:t xml:space="preserve">Ərizəçiləri Zalzburqda vəkillik fəaliyyəti ilə məşğul olan xanım P.Patzelt təmsil etmişdir. Avstriya hökumətini (“Hökumət”) onun nümayəndəsi Federal Xarici İşlər Nazirliyinin Beynəlxalq Hüquq Departamentinin rəisi Səfir F.Trautmansdorf </w:t>
      </w:r>
      <w:r w:rsidRPr="00D43B7C" w:rsidR="00986F16">
        <w:rPr>
          <w:i/>
          <w:lang w:val="az-Latn-AZ"/>
        </w:rPr>
        <w:t xml:space="preserve">(Trauttmansdorff) </w:t>
      </w:r>
      <w:r w:rsidRPr="00D43B7C" w:rsidR="00986F16">
        <w:rPr>
          <w:lang w:val="az-Latn-AZ"/>
        </w:rPr>
        <w:t>təmsil etmişdir.</w:t>
      </w:r>
    </w:p>
    <w:p w:rsidR="00A77C80"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w:t>
      </w:r>
      <w:r w:rsidRPr="00D43B7C">
        <w:rPr>
          <w:lang w:val="az-Latn-AZ"/>
        </w:rPr>
        <w:fldChar w:fldCharType="end"/>
      </w:r>
      <w:r w:rsidRPr="00D43B7C" w:rsidR="00260DD7">
        <w:rPr>
          <w:lang w:val="az-Latn-AZ"/>
        </w:rPr>
        <w:t>. </w:t>
      </w:r>
      <w:r w:rsidRPr="00D43B7C" w:rsidR="004812B8">
        <w:rPr>
          <w:lang w:val="az-Latn-AZ"/>
        </w:rPr>
        <w:t xml:space="preserve">Ərizəçilər ofislərində </w:t>
      </w:r>
      <w:r w:rsidRPr="00D43B7C" w:rsidR="00D23768">
        <w:rPr>
          <w:lang w:val="az-Latn-AZ"/>
        </w:rPr>
        <w:t xml:space="preserve">aparılan </w:t>
      </w:r>
      <w:r w:rsidRPr="00D43B7C" w:rsidR="004812B8">
        <w:rPr>
          <w:lang w:val="az-Latn-AZ"/>
        </w:rPr>
        <w:t>axtarış zamanı elektron məlumatın axtarış</w:t>
      </w:r>
      <w:r w:rsidRPr="00D43B7C" w:rsidR="0012123E">
        <w:rPr>
          <w:lang w:val="az-Latn-AZ"/>
        </w:rPr>
        <w:t>ı</w:t>
      </w:r>
      <w:r w:rsidRPr="00D43B7C" w:rsidR="004812B8">
        <w:rPr>
          <w:lang w:val="az-Latn-AZ"/>
        </w:rPr>
        <w:t xml:space="preserve"> və müsadirəsi</w:t>
      </w:r>
      <w:r w:rsidRPr="00D43B7C" w:rsidR="0012123E">
        <w:rPr>
          <w:lang w:val="az-Latn-AZ"/>
        </w:rPr>
        <w:t>nin</w:t>
      </w:r>
      <w:r w:rsidRPr="00D43B7C" w:rsidR="004812B8">
        <w:rPr>
          <w:lang w:val="az-Latn-AZ"/>
        </w:rPr>
        <w:t xml:space="preserve"> onların Konvensiyanın 8-ci maddəsi ilə </w:t>
      </w:r>
      <w:r w:rsidRPr="00D43B7C" w:rsidR="00D23768">
        <w:rPr>
          <w:lang w:val="az-Latn-AZ"/>
        </w:rPr>
        <w:t xml:space="preserve">müdafiə olunan </w:t>
      </w:r>
      <w:r w:rsidRPr="00D43B7C" w:rsidR="004812B8">
        <w:rPr>
          <w:lang w:val="az-Latn-AZ"/>
        </w:rPr>
        <w:t>hüquqlarını poz</w:t>
      </w:r>
      <w:r w:rsidRPr="00D43B7C" w:rsidR="00D23768">
        <w:rPr>
          <w:lang w:val="az-Latn-AZ"/>
        </w:rPr>
        <w:t>du</w:t>
      </w:r>
      <w:r w:rsidRPr="00D43B7C" w:rsidR="004812B8">
        <w:rPr>
          <w:lang w:val="az-Latn-AZ"/>
        </w:rPr>
        <w:t xml:space="preserve">ğunu iddia </w:t>
      </w:r>
      <w:r w:rsidRPr="00D43B7C" w:rsidR="00E71539">
        <w:rPr>
          <w:lang w:val="az-Latn-AZ"/>
        </w:rPr>
        <w:t>etmişdir</w:t>
      </w:r>
      <w:r w:rsidRPr="00D43B7C" w:rsidR="004812B8">
        <w:rPr>
          <w:lang w:val="az-Latn-AZ"/>
        </w:rPr>
        <w:t>.</w:t>
      </w:r>
    </w:p>
    <w:p w:rsidRPr="00D43B7C" w:rsidR="00260DD7"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w:t>
      </w:r>
      <w:r w:rsidRPr="00D43B7C">
        <w:rPr>
          <w:lang w:val="az-Latn-AZ"/>
        </w:rPr>
        <w:fldChar w:fldCharType="end"/>
      </w:r>
      <w:r w:rsidRPr="00D43B7C">
        <w:rPr>
          <w:lang w:val="az-Latn-AZ"/>
        </w:rPr>
        <w:t>. </w:t>
      </w:r>
      <w:r w:rsidRPr="00D43B7C" w:rsidR="00D23768">
        <w:rPr>
          <w:lang w:val="az-Latn-AZ"/>
        </w:rPr>
        <w:t>16 may 2006-ci il tar</w:t>
      </w:r>
      <w:r w:rsidRPr="00D43B7C" w:rsidR="0012123E">
        <w:rPr>
          <w:lang w:val="az-Latn-AZ"/>
        </w:rPr>
        <w:t>ixli qərarı ilə Palata bu ərizən</w:t>
      </w:r>
      <w:r w:rsidRPr="00D43B7C" w:rsidR="00D23768">
        <w:rPr>
          <w:lang w:val="az-Latn-AZ"/>
        </w:rPr>
        <w:t>i qəbuledilən elan etmişdir.</w:t>
      </w:r>
    </w:p>
    <w:p w:rsidRPr="00D43B7C" w:rsidR="00260DD7" w:rsidP="00924A59" w:rsidRDefault="006F28B9">
      <w:pPr>
        <w:pStyle w:val="JuHHead"/>
        <w:outlineLvl w:val="0"/>
        <w:rPr>
          <w:lang w:val="az-Latn-AZ"/>
        </w:rPr>
      </w:pPr>
      <w:r w:rsidRPr="00D43B7C">
        <w:rPr>
          <w:lang w:val="az-Latn-AZ"/>
        </w:rPr>
        <w:t>FAKTLAR</w:t>
      </w:r>
    </w:p>
    <w:p w:rsidRPr="00D43B7C" w:rsidR="00260DD7" w:rsidP="00924A59" w:rsidRDefault="00260DD7">
      <w:pPr>
        <w:pStyle w:val="JuHIRoman"/>
        <w:outlineLvl w:val="0"/>
        <w:rPr>
          <w:lang w:val="az-Latn-AZ"/>
        </w:rPr>
      </w:pPr>
      <w:r w:rsidRPr="00D43B7C">
        <w:rPr>
          <w:lang w:val="az-Latn-AZ"/>
        </w:rPr>
        <w:t>I.  </w:t>
      </w:r>
      <w:r w:rsidRPr="00D43B7C" w:rsidR="006F28B9">
        <w:rPr>
          <w:lang w:val="az-Latn-AZ"/>
        </w:rPr>
        <w:t>İŞİN HALLARI</w:t>
      </w:r>
    </w:p>
    <w:p w:rsidR="00A77C80" w:rsidP="00E63564"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w:t>
      </w:r>
      <w:r w:rsidRPr="00D43B7C">
        <w:rPr>
          <w:lang w:val="az-Latn-AZ"/>
        </w:rPr>
        <w:fldChar w:fldCharType="end"/>
      </w:r>
      <w:r w:rsidRPr="00D43B7C" w:rsidR="00260DD7">
        <w:rPr>
          <w:lang w:val="az-Latn-AZ"/>
        </w:rPr>
        <w:t>. </w:t>
      </w:r>
      <w:r w:rsidRPr="00D43B7C" w:rsidR="00D23768">
        <w:rPr>
          <w:lang w:val="az-Latn-AZ"/>
        </w:rPr>
        <w:t>Birinci ərizəçi 1949-cu ildə doğulub və Zalzburda vəkil kimi fəaliyyət göstərir. O, digər şirkətlərlə yanaşı</w:t>
      </w:r>
      <w:r w:rsidRPr="00D43B7C" w:rsidR="002E0209">
        <w:rPr>
          <w:lang w:val="az-Latn-AZ"/>
        </w:rPr>
        <w:t>,</w:t>
      </w:r>
      <w:r w:rsidRPr="00D43B7C" w:rsidR="00D23768">
        <w:rPr>
          <w:lang w:val="az-Latn-AZ"/>
        </w:rPr>
        <w:t xml:space="preserve"> Novamed məhdud məsuliyyətli cəmiyyətinin yeganə sahibi olan xoldinq sayılan ikinci ərizəçinin sahibi və baş meneceridir.</w:t>
      </w:r>
    </w:p>
    <w:p w:rsidR="00A77C80" w:rsidP="00050BA7" w:rsidRDefault="00E63564">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w:t>
      </w:r>
      <w:r w:rsidRPr="00D43B7C">
        <w:rPr>
          <w:lang w:val="az-Latn-AZ"/>
        </w:rPr>
        <w:fldChar w:fldCharType="end"/>
      </w:r>
      <w:r w:rsidRPr="00D43B7C">
        <w:rPr>
          <w:lang w:val="az-Latn-AZ"/>
        </w:rPr>
        <w:t>.  </w:t>
      </w:r>
      <w:r w:rsidRPr="00D43B7C" w:rsidR="00050BA7">
        <w:rPr>
          <w:lang w:val="az-Latn-AZ"/>
        </w:rPr>
        <w:t>30 avqust 2000-ci ildə Zalzburq regional məhkəməsi (</w:t>
      </w:r>
      <w:r w:rsidRPr="00D43B7C" w:rsidR="00050BA7">
        <w:rPr>
          <w:i/>
          <w:lang w:val="az-Latn-AZ"/>
        </w:rPr>
        <w:t>Landesgericht</w:t>
      </w:r>
      <w:r w:rsidRPr="00D43B7C" w:rsidR="00050BA7">
        <w:rPr>
          <w:lang w:val="az-Latn-AZ"/>
        </w:rPr>
        <w:t>) N</w:t>
      </w:r>
      <w:r w:rsidR="00F17DBF">
        <w:rPr>
          <w:lang w:val="az-Latn-AZ"/>
        </w:rPr>
        <w:t>e</w:t>
      </w:r>
      <w:r w:rsidRPr="00D43B7C" w:rsidR="00050BA7">
        <w:rPr>
          <w:lang w:val="az-Latn-AZ"/>
        </w:rPr>
        <w:t>ap</w:t>
      </w:r>
      <w:r w:rsidR="00F17DBF">
        <w:rPr>
          <w:lang w:val="az-Latn-AZ"/>
        </w:rPr>
        <w:t>o</w:t>
      </w:r>
      <w:r w:rsidRPr="00D43B7C" w:rsidR="00050BA7">
        <w:rPr>
          <w:lang w:val="az-Latn-AZ"/>
        </w:rPr>
        <w:t>l dövlət prokurorluğunun hüquqi yardım haqqında müraciətinə</w:t>
      </w:r>
      <w:r w:rsidRPr="00D43B7C" w:rsidR="00D9305F">
        <w:rPr>
          <w:lang w:val="az-Latn-AZ"/>
        </w:rPr>
        <w:t xml:space="preserve"> (</w:t>
      </w:r>
      <w:r w:rsidRPr="00D43B7C" w:rsidR="00D9305F">
        <w:rPr>
          <w:i/>
          <w:lang w:val="az-Latn-AZ"/>
        </w:rPr>
        <w:t>Rechtshilfeersuchen</w:t>
      </w:r>
      <w:r w:rsidRPr="00D43B7C" w:rsidR="00D9305F">
        <w:rPr>
          <w:lang w:val="az-Latn-AZ"/>
        </w:rPr>
        <w:t xml:space="preserve">) </w:t>
      </w:r>
      <w:r w:rsidRPr="00D43B7C" w:rsidR="00050BA7">
        <w:rPr>
          <w:lang w:val="az-Latn-AZ"/>
        </w:rPr>
        <w:t>əsasən ərizəçinin şirkəti</w:t>
      </w:r>
      <w:r w:rsidRPr="00D43B7C" w:rsidR="00D9305F">
        <w:rPr>
          <w:lang w:val="az-Latn-AZ"/>
        </w:rPr>
        <w:t>nin və Novamed</w:t>
      </w:r>
      <w:r w:rsidRPr="00D43B7C" w:rsidR="002E0209">
        <w:rPr>
          <w:lang w:val="az-Latn-AZ"/>
        </w:rPr>
        <w:t>in</w:t>
      </w:r>
      <w:r w:rsidRPr="00D43B7C" w:rsidR="00D9305F">
        <w:rPr>
          <w:lang w:val="az-Latn-AZ"/>
        </w:rPr>
        <w:t xml:space="preserve"> olduğu yerdə ax</w:t>
      </w:r>
      <w:r w:rsidRPr="00D43B7C" w:rsidR="00050BA7">
        <w:rPr>
          <w:lang w:val="az-Latn-AZ"/>
        </w:rPr>
        <w:t xml:space="preserve">tarışın keçirilməsi üçün order imzalamışdır. </w:t>
      </w:r>
      <w:r w:rsidRPr="00D43B7C" w:rsidR="00D9305F">
        <w:rPr>
          <w:lang w:val="az-Latn-AZ"/>
        </w:rPr>
        <w:t xml:space="preserve">Hər iki şirkət birinci ərizəçinin </w:t>
      </w:r>
      <w:r w:rsidR="00EE6609">
        <w:rPr>
          <w:lang w:val="az-Latn-AZ"/>
        </w:rPr>
        <w:t>vəkil</w:t>
      </w:r>
      <w:r w:rsidRPr="00D43B7C" w:rsidR="00D9305F">
        <w:rPr>
          <w:lang w:val="az-Latn-AZ"/>
        </w:rPr>
        <w:t xml:space="preserve"> ofisində yer</w:t>
      </w:r>
      <w:r w:rsidR="00F17DBF">
        <w:rPr>
          <w:lang w:val="az-Latn-AZ"/>
        </w:rPr>
        <w:t>ləşirdi</w:t>
      </w:r>
      <w:r w:rsidRPr="00D43B7C" w:rsidR="00D9305F">
        <w:rPr>
          <w:lang w:val="az-Latn-AZ"/>
        </w:rPr>
        <w:t>.</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7</w:t>
      </w:r>
      <w:r w:rsidRPr="00D43B7C">
        <w:rPr>
          <w:lang w:val="az-Latn-AZ"/>
        </w:rPr>
        <w:fldChar w:fldCharType="end"/>
      </w:r>
      <w:r w:rsidRPr="00D43B7C">
        <w:rPr>
          <w:lang w:val="az-Latn-AZ"/>
        </w:rPr>
        <w:t>.  </w:t>
      </w:r>
      <w:r w:rsidRPr="00D43B7C" w:rsidR="00D9305F">
        <w:rPr>
          <w:lang w:val="az-Latn-AZ"/>
        </w:rPr>
        <w:t xml:space="preserve">Məhkəmə </w:t>
      </w:r>
      <w:r w:rsidRPr="00D43B7C" w:rsidR="0028158A">
        <w:rPr>
          <w:lang w:val="az-Latn-AZ"/>
        </w:rPr>
        <w:t>İ</w:t>
      </w:r>
      <w:r w:rsidRPr="00D43B7C" w:rsidR="00D9305F">
        <w:rPr>
          <w:lang w:val="az-Latn-AZ"/>
        </w:rPr>
        <w:t>taliyada bir çox şəxslər və şirkətlərə qarşı tibbi dərmanların qanunsuz ticarəti</w:t>
      </w:r>
      <w:r w:rsidRPr="00D43B7C" w:rsidR="0028158A">
        <w:rPr>
          <w:lang w:val="az-Latn-AZ"/>
        </w:rPr>
        <w:t xml:space="preserve"> </w:t>
      </w:r>
      <w:r w:rsidRPr="00D43B7C" w:rsidR="00D9305F">
        <w:rPr>
          <w:lang w:val="az-Latn-AZ"/>
        </w:rPr>
        <w:t>də daxil olmaqla</w:t>
      </w:r>
      <w:r w:rsidRPr="00D43B7C" w:rsidR="002E0209">
        <w:rPr>
          <w:lang w:val="az-Latn-AZ"/>
        </w:rPr>
        <w:t>,</w:t>
      </w:r>
      <w:r w:rsidRPr="00D43B7C" w:rsidR="00D9305F">
        <w:rPr>
          <w:lang w:val="az-Latn-AZ"/>
        </w:rPr>
        <w:t xml:space="preserve"> baxılmaqda olan cinayət işlərinin icraatı zamanı ərizəçinin şirkətinin 100% sahib olduğu </w:t>
      </w:r>
      <w:r w:rsidR="006A33BC">
        <w:rPr>
          <w:lang w:val="az-Latn-AZ"/>
        </w:rPr>
        <w:t>Novamedə ünvanlanmış hesab-fakturaların (invoys)</w:t>
      </w:r>
      <w:r w:rsidRPr="00D43B7C" w:rsidR="00D9305F">
        <w:rPr>
          <w:lang w:val="az-Latn-AZ"/>
        </w:rPr>
        <w:t xml:space="preserve"> tapıldığını qeyd etmişdir. Bu səbəbdən məhkəmə şübhəli şəxslər və şirkətlərlə münasibətləri aşkara çıxaran bütün işgüzar sənədlərin müsadirə edilməsini əmr etmişdir.</w:t>
      </w:r>
    </w:p>
    <w:p w:rsidRPr="00D43B7C" w:rsidR="00E63564" w:rsidP="004719A7" w:rsidRDefault="004719A7">
      <w:pPr>
        <w:pStyle w:val="JuHA"/>
        <w:rPr>
          <w:lang w:val="az-Latn-AZ"/>
        </w:rPr>
      </w:pPr>
      <w:r w:rsidRPr="00D43B7C">
        <w:rPr>
          <w:lang w:val="az-Latn-AZ"/>
        </w:rPr>
        <w:t>A</w:t>
      </w:r>
      <w:r w:rsidRPr="00D43B7C" w:rsidR="00E63564">
        <w:rPr>
          <w:lang w:val="az-Latn-AZ"/>
        </w:rPr>
        <w:t>. </w:t>
      </w:r>
      <w:r w:rsidRPr="00D43B7C" w:rsidR="00D9305F">
        <w:rPr>
          <w:lang w:val="az-Latn-AZ"/>
        </w:rPr>
        <w:t>Ərizəçilərin ofislərində axtarış və sənədlər və məlumatların müsadirəsi</w:t>
      </w:r>
    </w:p>
    <w:p w:rsidRPr="00D43B7C" w:rsidR="00E63564" w:rsidP="00F81765"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8</w:t>
      </w:r>
      <w:r w:rsidRPr="00D43B7C">
        <w:rPr>
          <w:lang w:val="az-Latn-AZ"/>
        </w:rPr>
        <w:fldChar w:fldCharType="end"/>
      </w:r>
      <w:r w:rsidRPr="00D43B7C">
        <w:rPr>
          <w:lang w:val="az-Latn-AZ"/>
        </w:rPr>
        <w:t>.  </w:t>
      </w:r>
      <w:r w:rsidRPr="00D43B7C" w:rsidR="00D9305F">
        <w:rPr>
          <w:lang w:val="az-Latn-AZ"/>
        </w:rPr>
        <w:t xml:space="preserve">10 oktyabr 2000-ci ildə </w:t>
      </w:r>
      <w:r w:rsidRPr="00D43B7C" w:rsidR="00F81765">
        <w:rPr>
          <w:lang w:val="az-Latn-AZ"/>
        </w:rPr>
        <w:t xml:space="preserve">eyni zamanda birinci ərizəçinin </w:t>
      </w:r>
      <w:r w:rsidR="00EE6609">
        <w:rPr>
          <w:lang w:val="az-Latn-AZ"/>
        </w:rPr>
        <w:t>vəkil</w:t>
      </w:r>
      <w:r w:rsidRPr="00D43B7C" w:rsidR="00F81765">
        <w:rPr>
          <w:lang w:val="az-Latn-AZ"/>
        </w:rPr>
        <w:t xml:space="preserve"> ofisi olan ərizəçinin şirkətin</w:t>
      </w:r>
      <w:r w:rsidR="00EE6609">
        <w:rPr>
          <w:lang w:val="az-Latn-AZ"/>
        </w:rPr>
        <w:t>də</w:t>
      </w:r>
      <w:r w:rsidRPr="00D43B7C" w:rsidR="00F81765">
        <w:rPr>
          <w:lang w:val="az-Latn-AZ"/>
        </w:rPr>
        <w:t xml:space="preserve"> </w:t>
      </w:r>
      <w:r w:rsidR="006A33BC">
        <w:rPr>
          <w:lang w:val="az-Latn-AZ"/>
        </w:rPr>
        <w:t>Zalzburq polisi</w:t>
      </w:r>
      <w:r w:rsidRPr="00D43B7C" w:rsidR="00F81765">
        <w:rPr>
          <w:lang w:val="az-Latn-AZ"/>
        </w:rPr>
        <w:t xml:space="preserve"> İqtisadi Cinayətlər Departamentinin </w:t>
      </w:r>
      <w:r w:rsidR="006A33BC">
        <w:rPr>
          <w:lang w:val="az-Latn-AZ"/>
        </w:rPr>
        <w:t>səkkiz - on</w:t>
      </w:r>
      <w:r w:rsidR="00A77C80">
        <w:rPr>
          <w:lang w:val="az-Latn-AZ"/>
        </w:rPr>
        <w:t xml:space="preserve"> </w:t>
      </w:r>
      <w:r w:rsidR="006A33BC">
        <w:rPr>
          <w:lang w:val="az-Latn-AZ"/>
        </w:rPr>
        <w:t>zabit</w:t>
      </w:r>
      <w:r w:rsidRPr="00D43B7C" w:rsidR="00F81765">
        <w:rPr>
          <w:lang w:val="az-Latn-AZ"/>
        </w:rPr>
        <w:t>i (</w:t>
      </w:r>
      <w:r w:rsidRPr="00D43B7C" w:rsidR="00F81765">
        <w:rPr>
          <w:i/>
          <w:lang w:val="az-Latn-AZ"/>
        </w:rPr>
        <w:t>Wirtschaftspolizei</w:t>
      </w:r>
      <w:r w:rsidRPr="00D43B7C" w:rsidR="00F81765">
        <w:rPr>
          <w:lang w:val="az-Latn-AZ"/>
        </w:rPr>
        <w:t>) və Federal Daxili İşlər Nazirliyinin məlumatın təmin edilməsi üzrə ekspertləri (</w:t>
      </w:r>
      <w:r w:rsidRPr="00D43B7C" w:rsidR="00F81765">
        <w:rPr>
          <w:i/>
          <w:lang w:val="az-Latn-AZ"/>
        </w:rPr>
        <w:t>Datensicherungsexperten</w:t>
      </w:r>
      <w:r w:rsidRPr="00D43B7C" w:rsidR="00F81765">
        <w:rPr>
          <w:lang w:val="az-Latn-AZ"/>
        </w:rPr>
        <w:t>) tərəfindən axtarış keç</w:t>
      </w:r>
      <w:r w:rsidRPr="00D43B7C" w:rsidR="0028158A">
        <w:rPr>
          <w:lang w:val="az-Latn-AZ"/>
        </w:rPr>
        <w:t>i</w:t>
      </w:r>
      <w:r w:rsidRPr="00D43B7C" w:rsidR="00F81765">
        <w:rPr>
          <w:lang w:val="az-Latn-AZ"/>
        </w:rPr>
        <w:t>rilmişdir</w:t>
      </w:r>
      <w:r w:rsidRPr="00D43B7C" w:rsidR="00E63564">
        <w:rPr>
          <w:lang w:val="az-Latn-AZ"/>
        </w:rPr>
        <w:t>.</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9</w:t>
      </w:r>
      <w:r w:rsidRPr="00D43B7C">
        <w:rPr>
          <w:lang w:val="az-Latn-AZ"/>
        </w:rPr>
        <w:fldChar w:fldCharType="end"/>
      </w:r>
      <w:r w:rsidRPr="00D43B7C">
        <w:rPr>
          <w:lang w:val="az-Latn-AZ"/>
        </w:rPr>
        <w:t>. </w:t>
      </w:r>
      <w:r w:rsidRPr="00D43B7C" w:rsidR="00985472">
        <w:rPr>
          <w:lang w:val="az-Latn-AZ"/>
        </w:rPr>
        <w:t xml:space="preserve">Zabitlərin bir qrupu birinci ərizəçinin və Zalzburq Vəkillər </w:t>
      </w:r>
      <w:r w:rsidR="00EE6609">
        <w:rPr>
          <w:lang w:val="az-Latn-AZ"/>
        </w:rPr>
        <w:t>Kollegiyasının</w:t>
      </w:r>
      <w:r w:rsidRPr="00D43B7C" w:rsidR="00985472">
        <w:rPr>
          <w:lang w:val="az-Latn-AZ"/>
        </w:rPr>
        <w:t xml:space="preserve"> nümayəndəsinin iştirakı ilə Novamed və ya Bikos ilə əlaqədar</w:t>
      </w:r>
      <w:r w:rsidR="00A4269A">
        <w:rPr>
          <w:lang w:val="az-Latn-AZ"/>
        </w:rPr>
        <w:t xml:space="preserve"> materialları</w:t>
      </w:r>
      <w:r w:rsidRPr="00D43B7C" w:rsidR="00985472">
        <w:rPr>
          <w:lang w:val="az-Latn-AZ"/>
        </w:rPr>
        <w:t xml:space="preserve"> tapmaq üçün hüquq ofisində axtarış aparıb. Bütün sənədlər müsadirədən qabaq birinci ərizəçiyə və vəkillər </w:t>
      </w:r>
      <w:r w:rsidR="00EE6609">
        <w:rPr>
          <w:lang w:val="az-Latn-AZ"/>
        </w:rPr>
        <w:t>kollegiyasının</w:t>
      </w:r>
      <w:r w:rsidRPr="00D43B7C" w:rsidR="00EE6609">
        <w:rPr>
          <w:lang w:val="az-Latn-AZ"/>
        </w:rPr>
        <w:t xml:space="preserve"> </w:t>
      </w:r>
      <w:r w:rsidRPr="00D43B7C" w:rsidR="00985472">
        <w:rPr>
          <w:lang w:val="az-Latn-AZ"/>
        </w:rPr>
        <w:t>nümayəndəsinə göstərilmişdir.</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10</w:t>
      </w:r>
      <w:r w:rsidRPr="00D43B7C">
        <w:rPr>
          <w:lang w:val="az-Latn-AZ"/>
        </w:rPr>
        <w:fldChar w:fldCharType="end"/>
      </w:r>
      <w:r w:rsidRPr="00D43B7C">
        <w:rPr>
          <w:lang w:val="az-Latn-AZ"/>
        </w:rPr>
        <w:t>. </w:t>
      </w:r>
      <w:r w:rsidRPr="00D43B7C" w:rsidR="00985472">
        <w:rPr>
          <w:lang w:val="az-Latn-AZ"/>
        </w:rPr>
        <w:t>Birinc</w:t>
      </w:r>
      <w:r w:rsidRPr="00D43B7C" w:rsidR="0028158A">
        <w:rPr>
          <w:lang w:val="az-Latn-AZ"/>
        </w:rPr>
        <w:t>i</w:t>
      </w:r>
      <w:r w:rsidRPr="00D43B7C" w:rsidR="00985472">
        <w:rPr>
          <w:lang w:val="az-Latn-AZ"/>
        </w:rPr>
        <w:t xml:space="preserve"> ərizəçi müsadirə edilmiş sənədin dərhal araşdırılma</w:t>
      </w:r>
      <w:r w:rsidR="00EE6609">
        <w:rPr>
          <w:lang w:val="az-Latn-AZ"/>
        </w:rPr>
        <w:t>sına etiraz etdikdə, bu sənəd Ci</w:t>
      </w:r>
      <w:r w:rsidRPr="00D43B7C" w:rsidR="00985472">
        <w:rPr>
          <w:lang w:val="az-Latn-AZ"/>
        </w:rPr>
        <w:t>nayət Prose</w:t>
      </w:r>
      <w:r w:rsidRPr="00D43B7C" w:rsidR="0028158A">
        <w:rPr>
          <w:lang w:val="az-Latn-AZ"/>
        </w:rPr>
        <w:t>s</w:t>
      </w:r>
      <w:r w:rsidRPr="00D43B7C" w:rsidR="00985472">
        <w:rPr>
          <w:lang w:val="az-Latn-AZ"/>
        </w:rPr>
        <w:t>sual Məcəlləsinin 145-ci maddəsinin tələblərinə görə möhürlənib Zalzburq regional məhkəmə</w:t>
      </w:r>
      <w:r w:rsidRPr="00D43B7C" w:rsidR="002E0209">
        <w:rPr>
          <w:lang w:val="az-Latn-AZ"/>
        </w:rPr>
        <w:t>sinə</w:t>
      </w:r>
      <w:r w:rsidRPr="00D43B7C" w:rsidR="00985472">
        <w:rPr>
          <w:lang w:val="az-Latn-AZ"/>
        </w:rPr>
        <w:t xml:space="preserve"> göndərilmişdir (</w:t>
      </w:r>
      <w:r w:rsidRPr="00D43B7C" w:rsidR="00985472">
        <w:rPr>
          <w:i/>
          <w:lang w:val="az-Latn-AZ"/>
        </w:rPr>
        <w:t>Strafprozeßordnung</w:t>
      </w:r>
      <w:r w:rsidRPr="00D43B7C" w:rsidR="00985472">
        <w:rPr>
          <w:lang w:val="az-Latn-AZ"/>
        </w:rPr>
        <w:t xml:space="preserve"> – bax: aşağıda bənd 33). </w:t>
      </w:r>
      <w:r w:rsidRPr="00D43B7C" w:rsidR="00CD0A19">
        <w:rPr>
          <w:lang w:val="az-Latn-AZ"/>
        </w:rPr>
        <w:t>Bütün müsadirə olunmuş və ya möhürlənmiş sənədlər ərizəçi və axtarışı həyata keçirən zabitlər tərəfindən imzalanan axtarış protokolunda sadalanmışdır.</w:t>
      </w:r>
    </w:p>
    <w:p w:rsidR="00E90062"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11</w:t>
      </w:r>
      <w:r w:rsidRPr="00D43B7C">
        <w:rPr>
          <w:lang w:val="az-Latn-AZ"/>
        </w:rPr>
        <w:fldChar w:fldCharType="end"/>
      </w:r>
      <w:r w:rsidRPr="00D43B7C">
        <w:rPr>
          <w:lang w:val="az-Latn-AZ"/>
        </w:rPr>
        <w:t>. </w:t>
      </w:r>
      <w:r w:rsidRPr="00D43B7C" w:rsidR="00CD0A19">
        <w:rPr>
          <w:lang w:val="az-Latn-AZ"/>
        </w:rPr>
        <w:t>Paralel olaraq</w:t>
      </w:r>
      <w:r w:rsidRPr="00D43B7C" w:rsidR="002E0209">
        <w:rPr>
          <w:lang w:val="az-Latn-AZ"/>
        </w:rPr>
        <w:t>,</w:t>
      </w:r>
      <w:r w:rsidRPr="00D43B7C" w:rsidR="00CD0A19">
        <w:rPr>
          <w:lang w:val="az-Latn-AZ"/>
        </w:rPr>
        <w:t xml:space="preserve"> digər zabitlərdən ibarət bir qrup birinci ərizəçinin kompyüter sistemini</w:t>
      </w:r>
      <w:r w:rsidR="00A4269A">
        <w:rPr>
          <w:lang w:val="az-Latn-AZ"/>
        </w:rPr>
        <w:t xml:space="preserve"> araşdırmış və bir neçə faylı</w:t>
      </w:r>
      <w:r w:rsidRPr="00D43B7C" w:rsidR="00CD0A19">
        <w:rPr>
          <w:lang w:val="az-Latn-AZ"/>
        </w:rPr>
        <w:t xml:space="preserve"> disklərə köçürmüşdür. Müstəqil İnzibati Palata qarşısında verdiyi ifadəsinə əsasən (bax</w:t>
      </w:r>
      <w:r w:rsidRPr="00D43B7C" w:rsidR="002E0209">
        <w:rPr>
          <w:lang w:val="az-Latn-AZ"/>
        </w:rPr>
        <w:t>:</w:t>
      </w:r>
      <w:r w:rsidRPr="00D43B7C" w:rsidR="00CD0A19">
        <w:rPr>
          <w:lang w:val="az-Latn-AZ"/>
        </w:rPr>
        <w:t xml:space="preserve"> aşağıda bənd 25) </w:t>
      </w:r>
      <w:r w:rsidRPr="00D43B7C" w:rsidR="00EE6609">
        <w:rPr>
          <w:lang w:val="az-Latn-AZ"/>
        </w:rPr>
        <w:t xml:space="preserve">adətən </w:t>
      </w:r>
      <w:r w:rsidRPr="00D43B7C" w:rsidR="00CD0A19">
        <w:rPr>
          <w:lang w:val="az-Latn-AZ"/>
        </w:rPr>
        <w:t xml:space="preserve">kompyüter sistemlərinə </w:t>
      </w:r>
      <w:r w:rsidRPr="00D43B7C" w:rsidR="0028158A">
        <w:rPr>
          <w:lang w:val="az-Latn-AZ"/>
        </w:rPr>
        <w:t>baxan informasiya texnologiyal</w:t>
      </w:r>
      <w:r w:rsidRPr="00D43B7C" w:rsidR="00CD0A19">
        <w:rPr>
          <w:lang w:val="az-Latn-AZ"/>
        </w:rPr>
        <w:t xml:space="preserve">arı üzrə mütəxəssis </w:t>
      </w:r>
      <w:r w:rsidRPr="00D43B7C" w:rsidR="002E0209">
        <w:rPr>
          <w:lang w:val="az-Latn-AZ"/>
        </w:rPr>
        <w:t>müəyyən</w:t>
      </w:r>
      <w:r w:rsidRPr="00D43B7C" w:rsidR="00CD0A19">
        <w:rPr>
          <w:lang w:val="az-Latn-AZ"/>
        </w:rPr>
        <w:t xml:space="preserve"> texniki yardım göstərmək üçün dəvət olunmuşdur, lakin o, təxminən yarım saatdan sonra yenidən çıxıb getmişdir. Vəkillər Kollegiyasının nümayəndəsi kompyüter sistemində axtarış haqqında məlumatlandırılmışdır və müəyyən bir vaxt ərzində bu axtarışda iştirak da e</w:t>
      </w:r>
      <w:r w:rsidRPr="00D43B7C" w:rsidR="002E0209">
        <w:rPr>
          <w:lang w:val="az-Latn-AZ"/>
        </w:rPr>
        <w:t>tmişdir</w:t>
      </w:r>
      <w:r w:rsidRPr="00D43B7C" w:rsidR="00CD0A19">
        <w:rPr>
          <w:lang w:val="az-Latn-AZ"/>
        </w:rPr>
        <w:t xml:space="preserve">. </w:t>
      </w:r>
      <w:r w:rsidRPr="00D43B7C" w:rsidR="000B7AD6">
        <w:rPr>
          <w:lang w:val="az-Latn-AZ"/>
        </w:rPr>
        <w:t>Zabitlər kompyüter sistemində axtarışa xitam verdikdə onlar axtarış protokolu tərtib etmədən get</w:t>
      </w:r>
      <w:r w:rsidR="00EE6609">
        <w:rPr>
          <w:lang w:val="az-Latn-AZ"/>
        </w:rPr>
        <w:t>miş</w:t>
      </w:r>
      <w:r w:rsidRPr="00D43B7C" w:rsidR="000B7AD6">
        <w:rPr>
          <w:lang w:val="az-Latn-AZ"/>
        </w:rPr>
        <w:t xml:space="preserve"> və müvafiq olaraq birinci ərizəçini bu axtarışın nəticələri barədə məlumatlandırma</w:t>
      </w:r>
      <w:r w:rsidR="00EE6609">
        <w:rPr>
          <w:lang w:val="az-Latn-AZ"/>
        </w:rPr>
        <w:t>mışdır</w:t>
      </w:r>
      <w:r w:rsidRPr="00D43B7C" w:rsidR="000B7AD6">
        <w:rPr>
          <w:lang w:val="az-Latn-AZ"/>
        </w:rPr>
        <w:t>.</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12</w:t>
      </w:r>
      <w:r w:rsidRPr="00D43B7C">
        <w:rPr>
          <w:lang w:val="az-Latn-AZ"/>
        </w:rPr>
        <w:fldChar w:fldCharType="end"/>
      </w:r>
      <w:r w:rsidRPr="00D43B7C">
        <w:rPr>
          <w:lang w:val="az-Latn-AZ"/>
        </w:rPr>
        <w:t>. </w:t>
      </w:r>
      <w:r w:rsidRPr="00D43B7C" w:rsidR="00957CA7">
        <w:rPr>
          <w:lang w:val="az-Latn-AZ"/>
        </w:rPr>
        <w:t xml:space="preserve">Daha sonra həmin gün ərizəçilərin elektron məlumatları üzrə axtarış aparmış polis zabitləri məlumatın </w:t>
      </w:r>
      <w:r w:rsidR="00A4269A">
        <w:rPr>
          <w:lang w:val="az-Latn-AZ"/>
        </w:rPr>
        <w:t>qorunması</w:t>
      </w:r>
      <w:r w:rsidRPr="00D43B7C" w:rsidR="00957CA7">
        <w:rPr>
          <w:lang w:val="az-Latn-AZ"/>
        </w:rPr>
        <w:t xml:space="preserve"> haqqında protokol </w:t>
      </w:r>
      <w:r w:rsidRPr="00A4269A" w:rsidR="00957CA7">
        <w:rPr>
          <w:lang w:val="az-Latn-AZ"/>
        </w:rPr>
        <w:t>(data securing report)</w:t>
      </w:r>
      <w:r w:rsidRPr="00D43B7C" w:rsidR="00957CA7">
        <w:rPr>
          <w:lang w:val="az-Latn-AZ"/>
        </w:rPr>
        <w:t xml:space="preserve"> (</w:t>
      </w:r>
      <w:r w:rsidRPr="00D43B7C" w:rsidR="00957CA7">
        <w:rPr>
          <w:i/>
          <w:lang w:val="az-Latn-AZ"/>
        </w:rPr>
        <w:t>Datensicherungsbericht</w:t>
      </w:r>
      <w:r w:rsidRPr="00D43B7C" w:rsidR="00957CA7">
        <w:rPr>
          <w:lang w:val="az-Latn-AZ"/>
        </w:rPr>
        <w:t>) tərtib etmişlər. Birinci ərizəçinin kompyüter sistemlərinə dair bir sıra texniki incəli</w:t>
      </w:r>
      <w:r w:rsidRPr="00D43B7C" w:rsidR="002E0209">
        <w:rPr>
          <w:lang w:val="az-Latn-AZ"/>
        </w:rPr>
        <w:t>k</w:t>
      </w:r>
      <w:r w:rsidRPr="00D43B7C" w:rsidR="00957CA7">
        <w:rPr>
          <w:lang w:val="az-Latn-AZ"/>
        </w:rPr>
        <w:t>lərlə yanaşı</w:t>
      </w:r>
      <w:r w:rsidRPr="00D43B7C" w:rsidR="002E0209">
        <w:rPr>
          <w:lang w:val="az-Latn-AZ"/>
        </w:rPr>
        <w:t>,</w:t>
      </w:r>
      <w:r w:rsidRPr="00D43B7C" w:rsidR="00957CA7">
        <w:rPr>
          <w:lang w:val="az-Latn-AZ"/>
        </w:rPr>
        <w:t xml:space="preserve"> protokolda qeyd edilirdi ki, server tam olaraq köçürülməmişdir. Axtarış İtaliyad</w:t>
      </w:r>
      <w:r w:rsidR="00DD572A">
        <w:rPr>
          <w:lang w:val="az-Latn-AZ"/>
        </w:rPr>
        <w:t>a icraatı aparılan işdə adı keçən</w:t>
      </w:r>
      <w:r w:rsidRPr="00D43B7C" w:rsidR="00957CA7">
        <w:rPr>
          <w:lang w:val="az-Latn-AZ"/>
        </w:rPr>
        <w:t xml:space="preserve"> şirkətlərin və şübhəli şəxslərin adından istifadə etməklə aparılmışdır. Doxsan fayl daxil olan Novamed adlı papka və axtarılan </w:t>
      </w:r>
      <w:r w:rsidRPr="00D43B7C" w:rsidR="00F44A91">
        <w:rPr>
          <w:lang w:val="az-Latn-AZ"/>
        </w:rPr>
        <w:t>məlumatlardan</w:t>
      </w:r>
      <w:r w:rsidRPr="00D43B7C" w:rsidR="00957CA7">
        <w:rPr>
          <w:lang w:val="az-Latn-AZ"/>
        </w:rPr>
        <w:t xml:space="preserve"> əlavə biri də tapılmışdır. </w:t>
      </w:r>
      <w:r w:rsidRPr="00D43B7C" w:rsidR="00F44A91">
        <w:rPr>
          <w:lang w:val="az-Latn-AZ"/>
        </w:rPr>
        <w:t>Bütün məlumatlar disklərə köçürülmüşdür. Bundan başqa, silinmiş fayllar bərpa edilmişdir və nəticədə axtarılan məlumatlara aid bir sıra fayllar tapılmış və disklərə köçürülmüşdür.</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13</w:t>
      </w:r>
      <w:r w:rsidRPr="00D43B7C">
        <w:rPr>
          <w:lang w:val="az-Latn-AZ"/>
        </w:rPr>
        <w:fldChar w:fldCharType="end"/>
      </w:r>
      <w:r w:rsidRPr="00D43B7C">
        <w:rPr>
          <w:lang w:val="az-Latn-AZ"/>
        </w:rPr>
        <w:t>.  </w:t>
      </w:r>
      <w:r w:rsidRPr="00D43B7C" w:rsidR="00F44A91">
        <w:rPr>
          <w:lang w:val="az-Latn-AZ"/>
        </w:rPr>
        <w:t xml:space="preserve">13 oktyabr 2000-ci ildə </w:t>
      </w:r>
      <w:r w:rsidR="00DD572A">
        <w:rPr>
          <w:lang w:val="az-Latn-AZ"/>
        </w:rPr>
        <w:t>araşdırma</w:t>
      </w:r>
      <w:r w:rsidRPr="00D43B7C" w:rsidR="00F44A91">
        <w:rPr>
          <w:lang w:val="az-Latn-AZ"/>
        </w:rPr>
        <w:t xml:space="preserve"> aparan hakim </w:t>
      </w:r>
      <w:r w:rsidR="00D35D8F">
        <w:rPr>
          <w:lang w:val="az-Latn-AZ"/>
        </w:rPr>
        <w:t xml:space="preserve">(investigating judge) </w:t>
      </w:r>
      <w:r w:rsidRPr="00D43B7C" w:rsidR="00F44A91">
        <w:rPr>
          <w:lang w:val="az-Latn-AZ"/>
        </w:rPr>
        <w:t xml:space="preserve">birinci ərizəçinin iştirakı ilə möhürlənmiş sənədləri açdı. Sənədlərdən bəzilərinin sürəti çıxarılmış və sənədlərə əlavə edilmişdir, digərləri isə </w:t>
      </w:r>
      <w:r w:rsidRPr="00D43B7C" w:rsidR="007114C7">
        <w:rPr>
          <w:lang w:val="az-Latn-AZ"/>
        </w:rPr>
        <w:t xml:space="preserve">onların istifadəsinin birinci ərizəçinin peşə sirrini qorumaq </w:t>
      </w:r>
      <w:r w:rsidR="00D35D8F">
        <w:rPr>
          <w:lang w:val="az-Latn-AZ"/>
        </w:rPr>
        <w:t>öhdəliyinə</w:t>
      </w:r>
      <w:r w:rsidRPr="00D43B7C" w:rsidR="007114C7">
        <w:rPr>
          <w:lang w:val="az-Latn-AZ"/>
        </w:rPr>
        <w:t xml:space="preserve"> zidd olduğu səbəbindən </w:t>
      </w:r>
      <w:r w:rsidRPr="00D43B7C" w:rsidR="00F44A91">
        <w:rPr>
          <w:lang w:val="az-Latn-AZ"/>
        </w:rPr>
        <w:t xml:space="preserve">birinci ərizəçiyə </w:t>
      </w:r>
      <w:r w:rsidRPr="00D43B7C" w:rsidR="007114C7">
        <w:rPr>
          <w:lang w:val="az-Latn-AZ"/>
        </w:rPr>
        <w:t xml:space="preserve">geri </w:t>
      </w:r>
      <w:r w:rsidRPr="00D43B7C" w:rsidR="00F44A91">
        <w:rPr>
          <w:lang w:val="az-Latn-AZ"/>
        </w:rPr>
        <w:t>qaytarılmışdır</w:t>
      </w:r>
      <w:r w:rsidRPr="00D43B7C" w:rsidR="007114C7">
        <w:rPr>
          <w:lang w:val="az-Latn-AZ"/>
        </w:rPr>
        <w:t>.</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14</w:t>
      </w:r>
      <w:r w:rsidRPr="00D43B7C">
        <w:rPr>
          <w:lang w:val="az-Latn-AZ"/>
        </w:rPr>
        <w:fldChar w:fldCharType="end"/>
      </w:r>
      <w:r w:rsidRPr="00D43B7C">
        <w:rPr>
          <w:lang w:val="az-Latn-AZ"/>
        </w:rPr>
        <w:t>. </w:t>
      </w:r>
      <w:r w:rsidRPr="00D43B7C" w:rsidR="000B775E">
        <w:rPr>
          <w:lang w:val="az-Latn-AZ"/>
        </w:rPr>
        <w:t>Təmin edilmiş məlumatları daş</w:t>
      </w:r>
      <w:r w:rsidRPr="00D43B7C" w:rsidR="0028158A">
        <w:rPr>
          <w:lang w:val="az-Latn-AZ"/>
        </w:rPr>
        <w:t>ı</w:t>
      </w:r>
      <w:r w:rsidRPr="00D43B7C" w:rsidR="000B775E">
        <w:rPr>
          <w:lang w:val="az-Latn-AZ"/>
        </w:rPr>
        <w:t xml:space="preserve">yan disklər İqtisadi Cinayətlər Departamentinə verilmiş və orada çap edilmişdir. Həm disklər, həm də çap edilmiş fayllar daha sonra </w:t>
      </w:r>
      <w:r w:rsidR="005F27D3">
        <w:rPr>
          <w:lang w:val="az-Latn-AZ"/>
        </w:rPr>
        <w:t>araşdırma</w:t>
      </w:r>
      <w:r w:rsidRPr="00D43B7C" w:rsidR="000B775E">
        <w:rPr>
          <w:lang w:val="az-Latn-AZ"/>
        </w:rPr>
        <w:t xml:space="preserve"> aparan hakimə</w:t>
      </w:r>
      <w:r w:rsidRPr="00D43B7C">
        <w:rPr>
          <w:lang w:val="az-Latn-AZ"/>
        </w:rPr>
        <w:t> </w:t>
      </w:r>
      <w:r w:rsidRPr="00D43B7C" w:rsidR="000B775E">
        <w:rPr>
          <w:lang w:val="az-Latn-AZ"/>
        </w:rPr>
        <w:t>təqdim edilmişdir.</w:t>
      </w:r>
    </w:p>
    <w:p w:rsidRPr="00D43B7C" w:rsidR="00E63564" w:rsidP="00924A59" w:rsidRDefault="004719A7">
      <w:pPr>
        <w:pStyle w:val="JuHA"/>
        <w:outlineLvl w:val="0"/>
        <w:rPr>
          <w:lang w:val="az-Latn-AZ"/>
        </w:rPr>
      </w:pPr>
      <w:r w:rsidRPr="00D43B7C">
        <w:rPr>
          <w:lang w:val="az-Latn-AZ"/>
        </w:rPr>
        <w:t>B</w:t>
      </w:r>
      <w:r w:rsidRPr="00D43B7C" w:rsidR="00E63564">
        <w:rPr>
          <w:lang w:val="az-Latn-AZ"/>
        </w:rPr>
        <w:t>. </w:t>
      </w:r>
      <w:r w:rsidRPr="00D43B7C" w:rsidR="000B775E">
        <w:rPr>
          <w:lang w:val="az-Latn-AZ"/>
        </w:rPr>
        <w:t xml:space="preserve">Ərizəçinin </w:t>
      </w:r>
      <w:r w:rsidR="00367EBB">
        <w:rPr>
          <w:lang w:val="az-Latn-AZ"/>
        </w:rPr>
        <w:t>Təhlil</w:t>
      </w:r>
      <w:r w:rsidRPr="00D43B7C" w:rsidR="000B775E">
        <w:rPr>
          <w:lang w:val="az-Latn-AZ"/>
        </w:rPr>
        <w:t xml:space="preserve"> Palatasına ş</w:t>
      </w:r>
      <w:r w:rsidRPr="00D43B7C" w:rsidR="0028158A">
        <w:rPr>
          <w:lang w:val="az-Latn-AZ"/>
        </w:rPr>
        <w:t>i</w:t>
      </w:r>
      <w:r w:rsidRPr="00D43B7C" w:rsidR="000B775E">
        <w:rPr>
          <w:lang w:val="az-Latn-AZ"/>
        </w:rPr>
        <w:t>kayəti</w:t>
      </w:r>
      <w:r w:rsidRPr="00D43B7C" w:rsidR="00E63564">
        <w:rPr>
          <w:lang w:val="az-Latn-AZ"/>
        </w:rPr>
        <w:t xml:space="preserve"> </w:t>
      </w:r>
      <w:r w:rsidRPr="00367EBB" w:rsidR="000B775E">
        <w:rPr>
          <w:lang w:val="az-Latn-AZ"/>
        </w:rPr>
        <w:t>(</w:t>
      </w:r>
      <w:r w:rsidRPr="00367EBB" w:rsidR="00E63564">
        <w:rPr>
          <w:lang w:val="az-Latn-AZ"/>
        </w:rPr>
        <w:t>Review Chamber</w:t>
      </w:r>
      <w:r w:rsidRPr="00367EBB" w:rsidR="000B775E">
        <w:rPr>
          <w:lang w:val="az-Latn-AZ"/>
        </w:rPr>
        <w:t>)</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15</w:t>
      </w:r>
      <w:r w:rsidRPr="00D43B7C">
        <w:rPr>
          <w:lang w:val="az-Latn-AZ"/>
        </w:rPr>
        <w:fldChar w:fldCharType="end"/>
      </w:r>
      <w:r w:rsidRPr="00D43B7C">
        <w:rPr>
          <w:lang w:val="az-Latn-AZ"/>
        </w:rPr>
        <w:t>.</w:t>
      </w:r>
      <w:r w:rsidRPr="00D43B7C" w:rsidR="000B775E">
        <w:rPr>
          <w:lang w:val="az-Latn-AZ"/>
        </w:rPr>
        <w:t xml:space="preserve"> Müvafiq olaraq</w:t>
      </w:r>
      <w:r w:rsidRPr="00D43B7C">
        <w:rPr>
          <w:lang w:val="az-Latn-AZ"/>
        </w:rPr>
        <w:t> </w:t>
      </w:r>
      <w:r w:rsidRPr="00D43B7C" w:rsidR="000B775E">
        <w:rPr>
          <w:lang w:val="az-Latn-AZ"/>
        </w:rPr>
        <w:t>28 noyabr 2000-ci il və 11 dekabr 2000-ci il tarixlərində birinci ərizəçi və ərizəçi şirkət Zalzburq Regional Məhkəmə</w:t>
      </w:r>
      <w:r w:rsidRPr="00D43B7C" w:rsidR="002E0209">
        <w:rPr>
          <w:lang w:val="az-Latn-AZ"/>
        </w:rPr>
        <w:t>si</w:t>
      </w:r>
      <w:r w:rsidRPr="00D43B7C" w:rsidR="000B775E">
        <w:rPr>
          <w:lang w:val="az-Latn-AZ"/>
        </w:rPr>
        <w:t xml:space="preserve">nin </w:t>
      </w:r>
      <w:r w:rsidR="00480620">
        <w:rPr>
          <w:lang w:val="az-Latn-AZ"/>
        </w:rPr>
        <w:t xml:space="preserve">Təhlil </w:t>
      </w:r>
      <w:r w:rsidRPr="00D43B7C" w:rsidR="000B775E">
        <w:rPr>
          <w:lang w:val="az-Latn-AZ"/>
        </w:rPr>
        <w:t>Palatasına (</w:t>
      </w:r>
      <w:r w:rsidRPr="00D43B7C" w:rsidR="000B775E">
        <w:rPr>
          <w:i/>
          <w:lang w:val="az-Latn-AZ"/>
        </w:rPr>
        <w:t>Ratskammer</w:t>
      </w:r>
      <w:r w:rsidRPr="00D43B7C" w:rsidR="000B775E">
        <w:rPr>
          <w:lang w:val="az-Latn-AZ"/>
        </w:rPr>
        <w:t>) şikayətlər təqdim etmişdilər.</w:t>
      </w:r>
    </w:p>
    <w:p w:rsidR="00A77C80" w:rsidP="00A17C5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16</w:t>
      </w:r>
      <w:r w:rsidRPr="00D43B7C">
        <w:rPr>
          <w:lang w:val="az-Latn-AZ"/>
        </w:rPr>
        <w:fldChar w:fldCharType="end"/>
      </w:r>
      <w:r w:rsidRPr="00D43B7C">
        <w:rPr>
          <w:lang w:val="az-Latn-AZ"/>
        </w:rPr>
        <w:t>.  </w:t>
      </w:r>
      <w:r w:rsidRPr="00D43B7C" w:rsidR="000B775E">
        <w:rPr>
          <w:lang w:val="az-Latn-AZ"/>
        </w:rPr>
        <w:t>Onlar şikayət edirdi</w:t>
      </w:r>
      <w:r w:rsidRPr="00D43B7C" w:rsidR="002E0209">
        <w:rPr>
          <w:lang w:val="az-Latn-AZ"/>
        </w:rPr>
        <w:t>lər</w:t>
      </w:r>
      <w:r w:rsidR="006E3DE2">
        <w:rPr>
          <w:lang w:val="az-Latn-AZ"/>
        </w:rPr>
        <w:t xml:space="preserve"> ki, </w:t>
      </w:r>
      <w:r w:rsidRPr="00D43B7C" w:rsidR="000B775E">
        <w:rPr>
          <w:lang w:val="az-Latn-AZ"/>
        </w:rPr>
        <w:t>şirkətin sahibi və meneceri olan birinci ərizəçi eyni zamanda şirkətin payları olan bir sıra digər şirkətlərin hüquqşünası idi. Onlar</w:t>
      </w:r>
      <w:r w:rsidRPr="00D43B7C" w:rsidR="00A17C54">
        <w:rPr>
          <w:lang w:val="az-Latn-AZ"/>
        </w:rPr>
        <w:t xml:space="preserve"> </w:t>
      </w:r>
      <w:r w:rsidR="007E472A">
        <w:rPr>
          <w:lang w:val="az-Latn-AZ"/>
        </w:rPr>
        <w:t xml:space="preserve">şikayət etmişlər ki, </w:t>
      </w:r>
      <w:r w:rsidRPr="00D43B7C" w:rsidR="00A17C54">
        <w:rPr>
          <w:lang w:val="az-Latn-AZ"/>
        </w:rPr>
        <w:t>bəzi zabitlərin elektron məlumatları araşdırarkən və sürətlərin</w:t>
      </w:r>
      <w:r w:rsidRPr="00D43B7C" w:rsidR="002E0209">
        <w:rPr>
          <w:lang w:val="az-Latn-AZ"/>
        </w:rPr>
        <w:t>i</w:t>
      </w:r>
      <w:r w:rsidR="007E472A">
        <w:rPr>
          <w:lang w:val="az-Latn-AZ"/>
        </w:rPr>
        <w:t xml:space="preserve"> çıxararkən müşahidəsiz olması</w:t>
      </w:r>
      <w:r w:rsidRPr="00D43B7C" w:rsidR="000B775E">
        <w:rPr>
          <w:lang w:val="az-Latn-AZ"/>
        </w:rPr>
        <w:t xml:space="preserve"> o</w:t>
      </w:r>
      <w:r w:rsidR="007E472A">
        <w:rPr>
          <w:lang w:val="az-Latn-AZ"/>
        </w:rPr>
        <w:t>fisində axtarış keçirilən və elektron məlumatı müsadirə edilən</w:t>
      </w:r>
      <w:r w:rsidRPr="00D43B7C" w:rsidR="000B775E">
        <w:rPr>
          <w:lang w:val="az-Latn-AZ"/>
        </w:rPr>
        <w:t xml:space="preserve"> birinci</w:t>
      </w:r>
      <w:r w:rsidR="006E3DE2">
        <w:rPr>
          <w:lang w:val="az-Latn-AZ"/>
        </w:rPr>
        <w:t xml:space="preserve"> ərizəçinin </w:t>
      </w:r>
      <w:r w:rsidRPr="00D43B7C" w:rsidR="007E472A">
        <w:rPr>
          <w:lang w:val="az-Latn-AZ"/>
        </w:rPr>
        <w:t>Cinayət Prosesual Məcəlləsinin 152-ci maddəsi ilə birgə götürüldükdə Vəkillər haqqında Qanunun (</w:t>
      </w:r>
      <w:r w:rsidRPr="00D43B7C" w:rsidR="007E472A">
        <w:rPr>
          <w:i/>
          <w:lang w:val="az-Latn-AZ"/>
        </w:rPr>
        <w:t>Rechtsanwaltsordnung</w:t>
      </w:r>
      <w:r w:rsidRPr="00D43B7C" w:rsidR="007E472A">
        <w:rPr>
          <w:lang w:val="az-Latn-AZ"/>
        </w:rPr>
        <w:t>) 9-cu maddəsi</w:t>
      </w:r>
      <w:r w:rsidR="007E472A">
        <w:rPr>
          <w:lang w:val="az-Latn-AZ"/>
        </w:rPr>
        <w:t>nə əsasən</w:t>
      </w:r>
      <w:r w:rsidRPr="00D43B7C" w:rsidR="007E472A">
        <w:rPr>
          <w:lang w:val="az-Latn-AZ"/>
        </w:rPr>
        <w:t xml:space="preserve"> </w:t>
      </w:r>
      <w:r w:rsidR="006E3DE2">
        <w:rPr>
          <w:lang w:val="az-Latn-AZ"/>
        </w:rPr>
        <w:t>peşə sirri hüququnu və vəzifəsini</w:t>
      </w:r>
      <w:r w:rsidR="007E472A">
        <w:rPr>
          <w:lang w:val="az-Latn-AZ"/>
        </w:rPr>
        <w:t xml:space="preserve"> pozmuşdur</w:t>
      </w:r>
      <w:r w:rsidRPr="00D43B7C" w:rsidR="00A17C54">
        <w:rPr>
          <w:lang w:val="az-Latn-AZ"/>
        </w:rPr>
        <w:t>. Ərizəçilər həmin məlumatların birinci ərizəçinin iştirakı ilə araşdırılan sənədlər ilə eyni məlumat daşıdığını iddia</w:t>
      </w:r>
      <w:r w:rsidRPr="00D43B7C" w:rsidR="00350D27">
        <w:rPr>
          <w:lang w:val="az-Latn-AZ"/>
        </w:rPr>
        <w:t xml:space="preserve"> edirdi. Lakin elektron məlumat</w:t>
      </w:r>
      <w:r w:rsidRPr="00D43B7C" w:rsidR="00A17C54">
        <w:rPr>
          <w:lang w:val="az-Latn-AZ"/>
        </w:rPr>
        <w:t>a gəldikdə, birinc</w:t>
      </w:r>
      <w:r w:rsidRPr="00D43B7C" w:rsidR="00E73B3F">
        <w:rPr>
          <w:lang w:val="az-Latn-AZ"/>
        </w:rPr>
        <w:t>i ərizəçiyə etiraz etməyə və di</w:t>
      </w:r>
      <w:r w:rsidRPr="00D43B7C" w:rsidR="00A17C54">
        <w:rPr>
          <w:lang w:val="az-Latn-AZ"/>
        </w:rPr>
        <w:t>s</w:t>
      </w:r>
      <w:r w:rsidRPr="00D43B7C" w:rsidR="00E73B3F">
        <w:rPr>
          <w:lang w:val="az-Latn-AZ"/>
        </w:rPr>
        <w:t>k</w:t>
      </w:r>
      <w:r w:rsidRPr="00D43B7C" w:rsidR="00A17C54">
        <w:rPr>
          <w:lang w:val="az-Latn-AZ"/>
        </w:rPr>
        <w:t>lərə möhür vurulmağı tələb etməyə imkan verilməmişdir.</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17</w:t>
      </w:r>
      <w:r w:rsidRPr="00D43B7C">
        <w:rPr>
          <w:lang w:val="az-Latn-AZ"/>
        </w:rPr>
        <w:fldChar w:fldCharType="end"/>
      </w:r>
      <w:r w:rsidRPr="00D43B7C">
        <w:rPr>
          <w:lang w:val="az-Latn-AZ"/>
        </w:rPr>
        <w:t>. </w:t>
      </w:r>
      <w:r w:rsidRPr="00D43B7C" w:rsidR="004775D1">
        <w:rPr>
          <w:lang w:val="az-Latn-AZ"/>
        </w:rPr>
        <w:t xml:space="preserve"> </w:t>
      </w:r>
      <w:r w:rsidRPr="00D43B7C" w:rsidR="00837201">
        <w:rPr>
          <w:lang w:val="az-Latn-AZ"/>
        </w:rPr>
        <w:t xml:space="preserve">Daha </w:t>
      </w:r>
      <w:r w:rsidRPr="00D43B7C" w:rsidR="004775D1">
        <w:rPr>
          <w:lang w:val="az-Latn-AZ"/>
        </w:rPr>
        <w:t xml:space="preserve">sonra </w:t>
      </w:r>
      <w:r w:rsidRPr="00D43B7C" w:rsidR="00837201">
        <w:rPr>
          <w:lang w:val="az-Latn-AZ"/>
        </w:rPr>
        <w:t xml:space="preserve">onlar </w:t>
      </w:r>
      <w:r w:rsidRPr="00D43B7C" w:rsidR="004775D1">
        <w:rPr>
          <w:lang w:val="az-Latn-AZ"/>
        </w:rPr>
        <w:t xml:space="preserve">axtarış protokolunun axtarışın </w:t>
      </w:r>
      <w:r w:rsidRPr="00D43B7C" w:rsidR="00837201">
        <w:rPr>
          <w:lang w:val="az-Latn-AZ"/>
        </w:rPr>
        <w:t>həmin</w:t>
      </w:r>
      <w:r w:rsidRPr="00D43B7C" w:rsidR="004775D1">
        <w:rPr>
          <w:lang w:val="az-Latn-AZ"/>
        </w:rPr>
        <w:t xml:space="preserve"> hissəsini</w:t>
      </w:r>
      <w:r w:rsidRPr="00D43B7C" w:rsidR="00837201">
        <w:rPr>
          <w:lang w:val="az-Latn-AZ"/>
        </w:rPr>
        <w:t xml:space="preserve"> və həmçinin</w:t>
      </w:r>
      <w:r w:rsidRPr="00D43B7C" w:rsidR="004775D1">
        <w:rPr>
          <w:lang w:val="az-Latn-AZ"/>
        </w:rPr>
        <w:t xml:space="preserve"> hansı elektron məlumatlarının köçürüldüyünü və müsadirə olunduğunu qeyd etmə</w:t>
      </w:r>
      <w:r w:rsidRPr="00D43B7C" w:rsidR="00FC4CCC">
        <w:rPr>
          <w:lang w:val="az-Latn-AZ"/>
        </w:rPr>
        <w:t>diyini</w:t>
      </w:r>
      <w:r w:rsidRPr="00D43B7C" w:rsidR="004775D1">
        <w:rPr>
          <w:lang w:val="az-Latn-AZ"/>
        </w:rPr>
        <w:t xml:space="preserve"> iddia edirdi</w:t>
      </w:r>
      <w:r w:rsidRPr="00D43B7C" w:rsidR="00FC4CCC">
        <w:rPr>
          <w:lang w:val="az-Latn-AZ"/>
        </w:rPr>
        <w:t>lər</w:t>
      </w:r>
      <w:r w:rsidRPr="00D43B7C" w:rsidR="004775D1">
        <w:rPr>
          <w:lang w:val="az-Latn-AZ"/>
        </w:rPr>
        <w:t xml:space="preserve">. </w:t>
      </w:r>
      <w:r w:rsidRPr="00D43B7C" w:rsidR="004806AF">
        <w:rPr>
          <w:lang w:val="az-Latn-AZ"/>
        </w:rPr>
        <w:t>Bundan başqa</w:t>
      </w:r>
      <w:r w:rsidRPr="00D43B7C" w:rsidR="002E0209">
        <w:rPr>
          <w:lang w:val="az-Latn-AZ"/>
        </w:rPr>
        <w:t>,</w:t>
      </w:r>
      <w:r w:rsidRPr="00D43B7C" w:rsidR="004806AF">
        <w:rPr>
          <w:lang w:val="az-Latn-AZ"/>
        </w:rPr>
        <w:t xml:space="preserve"> axtarış protokolu zabitlərin yalnız üçü tərəfindən imzalanmışdır, protokol axtarışda iştirak edən bütün zabitlərin adlarını sadalamırdı və konkret olaraq</w:t>
      </w:r>
      <w:r w:rsidRPr="00D43B7C" w:rsidR="002E0209">
        <w:rPr>
          <w:lang w:val="az-Latn-AZ"/>
        </w:rPr>
        <w:t>,</w:t>
      </w:r>
      <w:r w:rsidRPr="00D43B7C" w:rsidR="004806AF">
        <w:rPr>
          <w:lang w:val="az-Latn-AZ"/>
        </w:rPr>
        <w:t xml:space="preserve"> Federal Daxili İşlər Nazirliyinin məlumatın təmin edilməsi üzrə ekspertlərinin adlarını əks etdirmirdi.</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18</w:t>
      </w:r>
      <w:r w:rsidRPr="00D43B7C">
        <w:rPr>
          <w:lang w:val="az-Latn-AZ"/>
        </w:rPr>
        <w:fldChar w:fldCharType="end"/>
      </w:r>
      <w:r w:rsidRPr="00D43B7C">
        <w:rPr>
          <w:lang w:val="az-Latn-AZ"/>
        </w:rPr>
        <w:t>. </w:t>
      </w:r>
      <w:r w:rsidRPr="00D43B7C" w:rsidR="004806AF">
        <w:rPr>
          <w:lang w:val="az-Latn-AZ"/>
        </w:rPr>
        <w:t xml:space="preserve">31 yanvar 2001-ci ildə </w:t>
      </w:r>
      <w:r w:rsidR="00D83725">
        <w:rPr>
          <w:lang w:val="az-Latn-AZ"/>
        </w:rPr>
        <w:t>Təhlil</w:t>
      </w:r>
      <w:r w:rsidRPr="00D43B7C" w:rsidR="004806AF">
        <w:rPr>
          <w:lang w:val="az-Latn-AZ"/>
        </w:rPr>
        <w:t xml:space="preserve"> Palatası ərizəçilərin şikayətlərini rədd etdi.</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19</w:t>
      </w:r>
      <w:r w:rsidRPr="00D43B7C">
        <w:rPr>
          <w:lang w:val="az-Latn-AZ"/>
        </w:rPr>
        <w:fldChar w:fldCharType="end"/>
      </w:r>
      <w:r w:rsidRPr="00D43B7C">
        <w:rPr>
          <w:lang w:val="az-Latn-AZ"/>
        </w:rPr>
        <w:t>. </w:t>
      </w:r>
      <w:r w:rsidRPr="00D43B7C" w:rsidR="004806AF">
        <w:rPr>
          <w:lang w:val="az-Latn-AZ"/>
        </w:rPr>
        <w:t xml:space="preserve">O, birinci ərizəçinin kompyüter məlumatının konkret </w:t>
      </w:r>
      <w:r w:rsidR="00C065DB">
        <w:rPr>
          <w:lang w:val="az-Latn-AZ"/>
        </w:rPr>
        <w:t xml:space="preserve">axtarış </w:t>
      </w:r>
      <w:r w:rsidRPr="00D43B7C" w:rsidR="004806AF">
        <w:rPr>
          <w:lang w:val="az-Latn-AZ"/>
        </w:rPr>
        <w:t>meyarlar</w:t>
      </w:r>
      <w:r w:rsidR="00C065DB">
        <w:rPr>
          <w:lang w:val="az-Latn-AZ"/>
        </w:rPr>
        <w:t>ı</w:t>
      </w:r>
      <w:r w:rsidRPr="00D43B7C" w:rsidR="004806AF">
        <w:rPr>
          <w:lang w:val="az-Latn-AZ"/>
        </w:rPr>
        <w:t xml:space="preserve"> üzrə axta</w:t>
      </w:r>
      <w:r w:rsidRPr="00D43B7C" w:rsidR="00636483">
        <w:rPr>
          <w:lang w:val="az-Latn-AZ"/>
        </w:rPr>
        <w:t>rı</w:t>
      </w:r>
      <w:r w:rsidRPr="00D43B7C" w:rsidR="004806AF">
        <w:rPr>
          <w:lang w:val="az-Latn-AZ"/>
        </w:rPr>
        <w:t xml:space="preserve">şa məruz qaldığını müşahidə etdi. Bu axtarış meyarlarına cavab verən </w:t>
      </w:r>
      <w:r w:rsidRPr="00D43B7C" w:rsidR="00217252">
        <w:rPr>
          <w:lang w:val="az-Latn-AZ"/>
        </w:rPr>
        <w:t xml:space="preserve">fayllar </w:t>
      </w:r>
      <w:r w:rsidRPr="00D43B7C" w:rsidR="00AC12BE">
        <w:rPr>
          <w:lang w:val="az-Latn-AZ"/>
        </w:rPr>
        <w:t>disklərə köçürülmüş və müsadirə edilmişdir.</w:t>
      </w:r>
    </w:p>
    <w:p w:rsidR="00A77C80" w:rsidP="00E63564" w:rsidRDefault="004806AF">
      <w:pPr>
        <w:pStyle w:val="JuPara"/>
        <w:rPr>
          <w:lang w:val="az-Latn-AZ"/>
        </w:rPr>
      </w:pPr>
      <w:r w:rsidRPr="00D43B7C">
        <w:rPr>
          <w:lang w:val="az-Latn-AZ"/>
        </w:rPr>
        <w:t xml:space="preserve"> </w:t>
      </w:r>
      <w:r w:rsidRPr="00D43B7C" w:rsidR="004719A7">
        <w:rPr>
          <w:lang w:val="az-Latn-AZ"/>
        </w:rPr>
        <w:fldChar w:fldCharType="begin"/>
      </w:r>
      <w:r w:rsidRPr="00D43B7C" w:rsidR="004719A7">
        <w:rPr>
          <w:lang w:val="az-Latn-AZ"/>
        </w:rPr>
        <w:instrText xml:space="preserve"> SEQ level0 \*arabic </w:instrText>
      </w:r>
      <w:r w:rsidRPr="00D43B7C" w:rsidR="004719A7">
        <w:rPr>
          <w:lang w:val="az-Latn-AZ"/>
        </w:rPr>
        <w:fldChar w:fldCharType="separate"/>
      </w:r>
      <w:r w:rsidR="00A25E09">
        <w:rPr>
          <w:noProof/>
          <w:lang w:val="az-Latn-AZ"/>
        </w:rPr>
        <w:t>20</w:t>
      </w:r>
      <w:r w:rsidRPr="00D43B7C" w:rsidR="004719A7">
        <w:rPr>
          <w:lang w:val="az-Latn-AZ"/>
        </w:rPr>
        <w:fldChar w:fldCharType="end"/>
      </w:r>
      <w:r w:rsidRPr="00D43B7C" w:rsidR="004719A7">
        <w:rPr>
          <w:lang w:val="az-Latn-AZ"/>
        </w:rPr>
        <w:t>. </w:t>
      </w:r>
      <w:r w:rsidRPr="00D43B7C" w:rsidR="00472393">
        <w:rPr>
          <w:lang w:val="az-Latn-AZ"/>
        </w:rPr>
        <w:t>Lakin bu müsadirənin Cinayət Proses</w:t>
      </w:r>
      <w:r w:rsidRPr="00D43B7C" w:rsidR="0028158A">
        <w:rPr>
          <w:lang w:val="az-Latn-AZ"/>
        </w:rPr>
        <w:t>s</w:t>
      </w:r>
      <w:r w:rsidRPr="00D43B7C" w:rsidR="00472393">
        <w:rPr>
          <w:lang w:val="az-Latn-AZ"/>
        </w:rPr>
        <w:t xml:space="preserve">ual Məcəlləsinin 152-ci maddəsinə </w:t>
      </w:r>
      <w:r w:rsidR="00C065DB">
        <w:rPr>
          <w:lang w:val="az-Latn-AZ"/>
        </w:rPr>
        <w:t>zidd olduğunu müəyyən etməyə</w:t>
      </w:r>
      <w:r w:rsidRPr="00D43B7C" w:rsidR="00472393">
        <w:rPr>
          <w:lang w:val="az-Latn-AZ"/>
        </w:rPr>
        <w:t xml:space="preserve"> heç bir əsas yox idi: birinci ərizəçinin hüquq ofisində axtarışın keçirilməsi Novamed və Bikos şirkətlərinin nümayəndəsi kimi birinci ərizəçinin saxladığı sənədlərlə əlaqədar idi və bu səbəbdən vəkil-müştəri münasibətləri</w:t>
      </w:r>
      <w:r w:rsidR="00C065DB">
        <w:rPr>
          <w:lang w:val="az-Latn-AZ"/>
        </w:rPr>
        <w:t>nə aid deyildi</w:t>
      </w:r>
      <w:r w:rsidRPr="00D43B7C" w:rsidR="00472393">
        <w:rPr>
          <w:lang w:val="az-Latn-AZ"/>
        </w:rPr>
        <w:t>.</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21</w:t>
      </w:r>
      <w:r w:rsidRPr="00D43B7C">
        <w:rPr>
          <w:lang w:val="az-Latn-AZ"/>
        </w:rPr>
        <w:fldChar w:fldCharType="end"/>
      </w:r>
      <w:r w:rsidRPr="00D43B7C">
        <w:rPr>
          <w:lang w:val="az-Latn-AZ"/>
        </w:rPr>
        <w:t>.</w:t>
      </w:r>
      <w:r w:rsidRPr="00D43B7C" w:rsidR="00472393">
        <w:rPr>
          <w:lang w:val="az-Latn-AZ"/>
        </w:rPr>
        <w:t xml:space="preserve"> Daha sonra o, </w:t>
      </w:r>
      <w:r w:rsidRPr="00D43B7C" w:rsidR="00574F1C">
        <w:rPr>
          <w:lang w:val="az-Latn-AZ"/>
        </w:rPr>
        <w:t xml:space="preserve">birinci ərizəçinin </w:t>
      </w:r>
      <w:r w:rsidR="00EE6609">
        <w:rPr>
          <w:lang w:val="az-Latn-AZ"/>
        </w:rPr>
        <w:t>vəkil</w:t>
      </w:r>
      <w:r w:rsidRPr="00D43B7C" w:rsidR="00574F1C">
        <w:rPr>
          <w:lang w:val="az-Latn-AZ"/>
        </w:rPr>
        <w:t xml:space="preserve"> ofisində axtarışın </w:t>
      </w:r>
      <w:r w:rsidRPr="00D43B7C" w:rsidR="00472393">
        <w:rPr>
          <w:lang w:val="az-Latn-AZ"/>
        </w:rPr>
        <w:t xml:space="preserve">elektron məlumatların axtarılması və müsadirə edilməsini əks etdirən axtarış </w:t>
      </w:r>
      <w:r w:rsidR="00EE6609">
        <w:rPr>
          <w:lang w:val="az-Latn-AZ"/>
        </w:rPr>
        <w:t>haqqında</w:t>
      </w:r>
      <w:r w:rsidRPr="00D43B7C" w:rsidR="00472393">
        <w:rPr>
          <w:lang w:val="az-Latn-AZ"/>
        </w:rPr>
        <w:t xml:space="preserve"> qanuni orderə əsas</w:t>
      </w:r>
      <w:r w:rsidRPr="00D43B7C" w:rsidR="00574F1C">
        <w:rPr>
          <w:lang w:val="az-Latn-AZ"/>
        </w:rPr>
        <w:t>ə</w:t>
      </w:r>
      <w:r w:rsidRPr="00D43B7C" w:rsidR="00472393">
        <w:rPr>
          <w:lang w:val="az-Latn-AZ"/>
        </w:rPr>
        <w:t xml:space="preserve">n </w:t>
      </w:r>
      <w:r w:rsidRPr="00D43B7C" w:rsidR="00574F1C">
        <w:rPr>
          <w:lang w:val="az-Latn-AZ"/>
        </w:rPr>
        <w:t>aparıldığını qeyd edirdi. Cinayət Prose</w:t>
      </w:r>
      <w:r w:rsidRPr="00D43B7C" w:rsidR="0028158A">
        <w:rPr>
          <w:lang w:val="az-Latn-AZ"/>
        </w:rPr>
        <w:t>s</w:t>
      </w:r>
      <w:r w:rsidRPr="00D43B7C" w:rsidR="00574F1C">
        <w:rPr>
          <w:lang w:val="az-Latn-AZ"/>
        </w:rPr>
        <w:t>sual Məcəlləsinin 145-ci maddəsində əks edilən aidiyyat</w:t>
      </w:r>
      <w:r w:rsidRPr="00D43B7C" w:rsidR="00636483">
        <w:rPr>
          <w:lang w:val="az-Latn-AZ"/>
        </w:rPr>
        <w:t>l</w:t>
      </w:r>
      <w:r w:rsidRPr="00D43B7C" w:rsidR="00574F1C">
        <w:rPr>
          <w:lang w:val="az-Latn-AZ"/>
        </w:rPr>
        <w:t xml:space="preserve">ı şəxslərin dərhal araşdırma aparmağa etiraz etmək və müsadirə olunmuş məlumatı Regional Məhkəməyə göndərmək və </w:t>
      </w:r>
      <w:r w:rsidR="00565EDC">
        <w:rPr>
          <w:lang w:val="az-Latn-AZ"/>
        </w:rPr>
        <w:t>Təhlil</w:t>
      </w:r>
      <w:r w:rsidRPr="00D43B7C" w:rsidR="00574F1C">
        <w:rPr>
          <w:lang w:val="az-Latn-AZ"/>
        </w:rPr>
        <w:t xml:space="preserve"> Palatasının qərarını</w:t>
      </w:r>
      <w:r w:rsidRPr="00D43B7C" w:rsidR="00557713">
        <w:rPr>
          <w:lang w:val="az-Latn-AZ"/>
        </w:rPr>
        <w:t xml:space="preserve"> almaq hüququ</w:t>
      </w:r>
      <w:r w:rsidRPr="00D43B7C" w:rsidR="007E4997">
        <w:rPr>
          <w:lang w:val="az-Latn-AZ"/>
        </w:rPr>
        <w:t xml:space="preserve"> kimi prosessual təminatlar</w:t>
      </w:r>
      <w:r w:rsidRPr="00D43B7C" w:rsidR="00574F1C">
        <w:rPr>
          <w:lang w:val="az-Latn-AZ"/>
        </w:rPr>
        <w:t xml:space="preserve"> eynilə elektron məlumatın axtarışına da şamil edilirdi.</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22</w:t>
      </w:r>
      <w:r w:rsidRPr="00D43B7C">
        <w:rPr>
          <w:lang w:val="az-Latn-AZ"/>
        </w:rPr>
        <w:fldChar w:fldCharType="end"/>
      </w:r>
      <w:r w:rsidRPr="00D43B7C">
        <w:rPr>
          <w:lang w:val="az-Latn-AZ"/>
        </w:rPr>
        <w:t>. </w:t>
      </w:r>
      <w:r w:rsidRPr="00D43B7C" w:rsidR="00557713">
        <w:rPr>
          <w:lang w:val="az-Latn-AZ"/>
        </w:rPr>
        <w:t>Lakin hazırkı işdə</w:t>
      </w:r>
      <w:r w:rsidRPr="00D43B7C">
        <w:rPr>
          <w:lang w:val="az-Latn-AZ"/>
        </w:rPr>
        <w:t> </w:t>
      </w:r>
      <w:r w:rsidRPr="00D43B7C" w:rsidR="00557713">
        <w:rPr>
          <w:lang w:val="az-Latn-AZ"/>
        </w:rPr>
        <w:t>zabitlər yalnız birinci ərizəçinin müəyyən sənədləri möhürləmək və Regional Məhkəməyə göndərmək xahişlərini yerinə yetirmişdir. Bu sənədlərin bəziləri ərizəçinin peşə sirrini qorumaq vəzifəsini təmin etmək üçün məhkəmə tərəfindən geri qaytarılmışdır.</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23</w:t>
      </w:r>
      <w:r w:rsidRPr="00D43B7C">
        <w:rPr>
          <w:lang w:val="az-Latn-AZ"/>
        </w:rPr>
        <w:fldChar w:fldCharType="end"/>
      </w:r>
      <w:r w:rsidRPr="00D43B7C">
        <w:rPr>
          <w:lang w:val="az-Latn-AZ"/>
        </w:rPr>
        <w:t>. </w:t>
      </w:r>
      <w:r w:rsidRPr="00D43B7C" w:rsidR="00AD19AE">
        <w:rPr>
          <w:lang w:val="az-Latn-AZ"/>
        </w:rPr>
        <w:t xml:space="preserve">Bu səbəbdən ərizəçilərin şikayətlərinin əsassız olduğuna dair qərar çıxarılmışdır. </w:t>
      </w:r>
      <w:r w:rsidR="00565EDC">
        <w:rPr>
          <w:lang w:val="az-Latn-AZ"/>
        </w:rPr>
        <w:t>Təhlil</w:t>
      </w:r>
      <w:r w:rsidRPr="00D43B7C" w:rsidR="00AD19AE">
        <w:rPr>
          <w:lang w:val="az-Latn-AZ"/>
        </w:rPr>
        <w:t xml:space="preserve"> Palatasının qərarı 7 fevral 2001-ci il tarixdə qüvvəyə minmişdir.</w:t>
      </w:r>
    </w:p>
    <w:p w:rsidRPr="00D43B7C" w:rsidR="00E63564" w:rsidP="004719A7" w:rsidRDefault="004719A7">
      <w:pPr>
        <w:pStyle w:val="JuHA"/>
        <w:rPr>
          <w:lang w:val="az-Latn-AZ"/>
        </w:rPr>
      </w:pPr>
      <w:r w:rsidRPr="00D43B7C">
        <w:rPr>
          <w:lang w:val="az-Latn-AZ"/>
        </w:rPr>
        <w:t>C</w:t>
      </w:r>
      <w:r w:rsidRPr="00D43B7C" w:rsidR="00E63564">
        <w:rPr>
          <w:lang w:val="az-Latn-AZ"/>
        </w:rPr>
        <w:t>. </w:t>
      </w:r>
      <w:r w:rsidRPr="00D43B7C" w:rsidR="00AD19AE">
        <w:rPr>
          <w:lang w:val="az-Latn-AZ"/>
        </w:rPr>
        <w:t>Ərizəçilərin Zalzburq Müstəqil İnzibati Palata</w:t>
      </w:r>
      <w:r w:rsidRPr="00D43B7C" w:rsidR="00636483">
        <w:rPr>
          <w:lang w:val="az-Latn-AZ"/>
        </w:rPr>
        <w:t>sın</w:t>
      </w:r>
      <w:r w:rsidRPr="00D43B7C" w:rsidR="00AD19AE">
        <w:rPr>
          <w:lang w:val="az-Latn-AZ"/>
        </w:rPr>
        <w:t>a şikayəti</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24</w:t>
      </w:r>
      <w:r w:rsidRPr="00D43B7C">
        <w:rPr>
          <w:lang w:val="az-Latn-AZ"/>
        </w:rPr>
        <w:fldChar w:fldCharType="end"/>
      </w:r>
      <w:r w:rsidRPr="00D43B7C">
        <w:rPr>
          <w:lang w:val="az-Latn-AZ"/>
        </w:rPr>
        <w:t>.</w:t>
      </w:r>
      <w:r w:rsidRPr="00D43B7C" w:rsidR="00AD19AE">
        <w:rPr>
          <w:lang w:val="az-Latn-AZ"/>
        </w:rPr>
        <w:t xml:space="preserve"> Müvafiq olaraq</w:t>
      </w:r>
      <w:r w:rsidRPr="00D43B7C">
        <w:rPr>
          <w:lang w:val="az-Latn-AZ"/>
        </w:rPr>
        <w:t> </w:t>
      </w:r>
      <w:r w:rsidRPr="00D43B7C" w:rsidR="00AD19AE">
        <w:rPr>
          <w:lang w:val="az-Latn-AZ"/>
        </w:rPr>
        <w:t>20 və 21 noyabr 2000-ci il tarixlərində birinci ərizəçi və ərizəçi şirkət Zalzburq Müstəqil İnzibati Palata</w:t>
      </w:r>
      <w:r w:rsidRPr="00D43B7C" w:rsidR="00636483">
        <w:rPr>
          <w:lang w:val="az-Latn-AZ"/>
        </w:rPr>
        <w:t>sın</w:t>
      </w:r>
      <w:r w:rsidRPr="00D43B7C" w:rsidR="00AD19AE">
        <w:rPr>
          <w:lang w:val="az-Latn-AZ"/>
        </w:rPr>
        <w:t>a (</w:t>
      </w:r>
      <w:r w:rsidRPr="00D43B7C" w:rsidR="00AD19AE">
        <w:rPr>
          <w:i/>
          <w:lang w:val="az-Latn-AZ"/>
        </w:rPr>
        <w:t>Unabhängiger Verwaltungssenat</w:t>
      </w:r>
      <w:r w:rsidRPr="00D43B7C" w:rsidR="00AD19AE">
        <w:rPr>
          <w:lang w:val="az-Latn-AZ"/>
        </w:rPr>
        <w:t>) şikayət göndərmişdilər. Onlar birinci ərizəçinin ofisində elektron məlumatların axtarışı və müsadirə edilməsinin qanunsuz olduğunu iddia edirdi.</w:t>
      </w:r>
    </w:p>
    <w:p w:rsidR="00A77C80"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25</w:t>
      </w:r>
      <w:r w:rsidRPr="00D43B7C">
        <w:rPr>
          <w:lang w:val="az-Latn-AZ"/>
        </w:rPr>
        <w:fldChar w:fldCharType="end"/>
      </w:r>
      <w:r w:rsidRPr="00D43B7C">
        <w:rPr>
          <w:lang w:val="az-Latn-AZ"/>
        </w:rPr>
        <w:t>.  </w:t>
      </w:r>
      <w:r w:rsidRPr="00D43B7C" w:rsidR="00AD19AE">
        <w:rPr>
          <w:lang w:val="az-Latn-AZ"/>
        </w:rPr>
        <w:t>2 aprel, 11 iyun və 11 iyul 2001-ci il tarixlər</w:t>
      </w:r>
      <w:r w:rsidRPr="00D43B7C" w:rsidR="00636483">
        <w:rPr>
          <w:lang w:val="az-Latn-AZ"/>
        </w:rPr>
        <w:t>in</w:t>
      </w:r>
      <w:r w:rsidRPr="00D43B7C" w:rsidR="00AD19AE">
        <w:rPr>
          <w:lang w:val="az-Latn-AZ"/>
        </w:rPr>
        <w:t>də Müstəqil İnzibati Palata açıq dinləmələr keçirmiş və bir sıra şahidlərin ifadələrini dinləmişdir. Birinci ərizəçinin kom</w:t>
      </w:r>
      <w:r w:rsidRPr="00D43B7C" w:rsidR="0028158A">
        <w:rPr>
          <w:lang w:val="az-Latn-AZ"/>
        </w:rPr>
        <w:t>p</w:t>
      </w:r>
      <w:r w:rsidRPr="00D43B7C" w:rsidR="00AD19AE">
        <w:rPr>
          <w:lang w:val="az-Latn-AZ"/>
        </w:rPr>
        <w:t xml:space="preserve">yüterlərinə cavabdeh olan informasiya texnologiyaları üzrə </w:t>
      </w:r>
      <w:r w:rsidRPr="00D43B7C" w:rsidR="0028158A">
        <w:rPr>
          <w:lang w:val="az-Latn-AZ"/>
        </w:rPr>
        <w:t>mütəxəssis</w:t>
      </w:r>
      <w:r w:rsidRPr="00D43B7C" w:rsidR="00AD19AE">
        <w:rPr>
          <w:lang w:val="az-Latn-AZ"/>
        </w:rPr>
        <w:t xml:space="preserve"> qeyd et</w:t>
      </w:r>
      <w:r w:rsidR="00D348BF">
        <w:rPr>
          <w:lang w:val="az-Latn-AZ"/>
        </w:rPr>
        <w:t>miş</w:t>
      </w:r>
      <w:r w:rsidRPr="00D43B7C" w:rsidR="00AD19AE">
        <w:rPr>
          <w:lang w:val="az-Latn-AZ"/>
        </w:rPr>
        <w:t>di</w:t>
      </w:r>
      <w:r w:rsidR="00D348BF">
        <w:rPr>
          <w:lang w:val="az-Latn-AZ"/>
        </w:rPr>
        <w:t>r</w:t>
      </w:r>
      <w:r w:rsidRPr="00D43B7C" w:rsidR="00AD19AE">
        <w:rPr>
          <w:lang w:val="az-Latn-AZ"/>
        </w:rPr>
        <w:t xml:space="preserve"> ki, o dəvət edilmişdi və ofisə çatanda artıq axtarış başlamışdı. Yarım saatdan sonra o</w:t>
      </w:r>
      <w:r w:rsidRPr="00D43B7C" w:rsidR="00636483">
        <w:rPr>
          <w:lang w:val="az-Latn-AZ"/>
        </w:rPr>
        <w:t>,</w:t>
      </w:r>
      <w:r w:rsidRPr="00D43B7C" w:rsidR="00AD19AE">
        <w:rPr>
          <w:lang w:val="az-Latn-AZ"/>
        </w:rPr>
        <w:t xml:space="preserve"> yenidən getmişdir. Axtarışa məsul şəxs qeyd etdi ki, birinci ərizəçi öz kompyüter məlumatlarının axtarışına dair məlumatlandırılmışdır. Digər iki zabit birinci ərizəçinin kompyüter sistemlərinin axtarışının informasiya texnologiyaları üzrə mütəxəssi</w:t>
      </w:r>
      <w:r w:rsidRPr="00D43B7C" w:rsidR="0028158A">
        <w:rPr>
          <w:lang w:val="az-Latn-AZ"/>
        </w:rPr>
        <w:t>s</w:t>
      </w:r>
      <w:r w:rsidRPr="00D43B7C" w:rsidR="00AD19AE">
        <w:rPr>
          <w:lang w:val="az-Latn-AZ"/>
        </w:rPr>
        <w:t xml:space="preserve"> gələndə başla</w:t>
      </w:r>
      <w:r w:rsidRPr="00D43B7C" w:rsidR="00636483">
        <w:rPr>
          <w:lang w:val="az-Latn-AZ"/>
        </w:rPr>
        <w:t>d</w:t>
      </w:r>
      <w:r w:rsidRPr="00D43B7C" w:rsidR="00AD19AE">
        <w:rPr>
          <w:lang w:val="az-Latn-AZ"/>
        </w:rPr>
        <w:t>ı</w:t>
      </w:r>
      <w:r w:rsidRPr="00D43B7C" w:rsidR="00636483">
        <w:rPr>
          <w:lang w:val="az-Latn-AZ"/>
        </w:rPr>
        <w:t>ğı</w:t>
      </w:r>
      <w:r w:rsidRPr="00D43B7C" w:rsidR="00AD19AE">
        <w:rPr>
          <w:lang w:val="az-Latn-AZ"/>
        </w:rPr>
        <w:t>nı</w:t>
      </w:r>
      <w:r w:rsidRPr="00D43B7C" w:rsidR="00586264">
        <w:rPr>
          <w:lang w:val="az-Latn-AZ"/>
        </w:rPr>
        <w:t xml:space="preserve"> və Vəkillər Kollegiyasının nümayəndəsinin müəyyən vaxt ərzində iştirak etdiyini</w:t>
      </w:r>
      <w:r w:rsidRPr="00D43B7C" w:rsidR="00AD19AE">
        <w:rPr>
          <w:lang w:val="az-Latn-AZ"/>
        </w:rPr>
        <w:t xml:space="preserve"> vurğuladı. </w:t>
      </w:r>
      <w:r w:rsidRPr="00D43B7C" w:rsidR="00586264">
        <w:rPr>
          <w:lang w:val="az-Latn-AZ"/>
        </w:rPr>
        <w:t>Bunu Vəkillər Kollegiyasının nümayəndəsi də təsdiqlədi.</w:t>
      </w:r>
    </w:p>
    <w:p w:rsidR="00A77C80" w:rsidP="005862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26</w:t>
      </w:r>
      <w:r w:rsidRPr="00D43B7C">
        <w:rPr>
          <w:lang w:val="az-Latn-AZ"/>
        </w:rPr>
        <w:fldChar w:fldCharType="end"/>
      </w:r>
      <w:r w:rsidRPr="00D43B7C">
        <w:rPr>
          <w:lang w:val="az-Latn-AZ"/>
        </w:rPr>
        <w:t>.  </w:t>
      </w:r>
      <w:r w:rsidRPr="00D43B7C" w:rsidR="00586264">
        <w:rPr>
          <w:lang w:val="az-Latn-AZ"/>
        </w:rPr>
        <w:t>24 oktyabr 2001-ci ildə Zalzburq Müstəqil İnzibati Palatası ərizəçilərin şikayətlərini rədd etdi. O, bu şikayətlərin axtar</w:t>
      </w:r>
      <w:r w:rsidRPr="00D43B7C" w:rsidR="00C642DE">
        <w:rPr>
          <w:lang w:val="az-Latn-AZ"/>
        </w:rPr>
        <w:t>ış</w:t>
      </w:r>
      <w:r w:rsidRPr="00D43B7C" w:rsidR="00586264">
        <w:rPr>
          <w:lang w:val="az-Latn-AZ"/>
        </w:rPr>
        <w:t xml:space="preserve">a dair Cinayət Prosessual Məcəlləsinin müəyyən müddəalarının pozuntusu ilə əlaqədar olduğunu müəyyən etdi. </w:t>
      </w:r>
      <w:r w:rsidRPr="00D43B7C" w:rsidR="00C642DE">
        <w:rPr>
          <w:lang w:val="az-Latn-AZ"/>
        </w:rPr>
        <w:t>Axtarışı həyata keçirən zabitlər bəlkə</w:t>
      </w:r>
      <w:r w:rsidRPr="00D43B7C" w:rsidR="0028158A">
        <w:rPr>
          <w:lang w:val="az-Latn-AZ"/>
        </w:rPr>
        <w:t xml:space="preserve"> </w:t>
      </w:r>
      <w:r w:rsidRPr="00D43B7C" w:rsidR="00C642DE">
        <w:rPr>
          <w:lang w:val="az-Latn-AZ"/>
        </w:rPr>
        <w:t xml:space="preserve">də bu müddəalara tam </w:t>
      </w:r>
      <w:r w:rsidRPr="00D43B7C" w:rsidR="0099324B">
        <w:rPr>
          <w:lang w:val="az-Latn-AZ"/>
        </w:rPr>
        <w:t>riayət etməmiş</w:t>
      </w:r>
      <w:r w:rsidRPr="00D43B7C" w:rsidR="00636483">
        <w:rPr>
          <w:lang w:val="az-Latn-AZ"/>
        </w:rPr>
        <w:t>lər</w:t>
      </w:r>
      <w:r w:rsidRPr="00D43B7C" w:rsidR="0099324B">
        <w:rPr>
          <w:lang w:val="az-Latn-AZ"/>
        </w:rPr>
        <w:t xml:space="preserve">. </w:t>
      </w:r>
      <w:r w:rsidRPr="00D43B7C" w:rsidR="002D5E6D">
        <w:rPr>
          <w:lang w:val="az-Latn-AZ"/>
        </w:rPr>
        <w:t>Lakin onlar axtarış orderi əsasında fəaliyyət g</w:t>
      </w:r>
      <w:r w:rsidRPr="00D43B7C" w:rsidR="0028158A">
        <w:rPr>
          <w:lang w:val="az-Latn-AZ"/>
        </w:rPr>
        <w:t>ö</w:t>
      </w:r>
      <w:r w:rsidRPr="00D43B7C" w:rsidR="002D5E6D">
        <w:rPr>
          <w:lang w:val="az-Latn-AZ"/>
        </w:rPr>
        <w:t xml:space="preserve">stərmiş və </w:t>
      </w:r>
      <w:r w:rsidR="006350DE">
        <w:rPr>
          <w:lang w:val="az-Latn-AZ"/>
        </w:rPr>
        <w:t>araşdırma</w:t>
      </w:r>
      <w:r w:rsidRPr="00D43B7C" w:rsidR="00636483">
        <w:rPr>
          <w:lang w:val="az-Latn-AZ"/>
        </w:rPr>
        <w:t xml:space="preserve"> </w:t>
      </w:r>
      <w:r w:rsidRPr="00D43B7C" w:rsidR="002D5E6D">
        <w:rPr>
          <w:lang w:val="az-Latn-AZ"/>
        </w:rPr>
        <w:t>aparan hakimin göstərişlərindən kənara çıxmamış</w:t>
      </w:r>
      <w:r w:rsidRPr="00D43B7C" w:rsidR="00636483">
        <w:rPr>
          <w:lang w:val="az-Latn-AZ"/>
        </w:rPr>
        <w:t>lar</w:t>
      </w:r>
      <w:r w:rsidRPr="00D43B7C" w:rsidR="002D5E6D">
        <w:rPr>
          <w:lang w:val="az-Latn-AZ"/>
        </w:rPr>
        <w:t>. Bu səbəbdən də axtarış məhkəməyə aid idi. Beləliklə, qanuna uyğunluğun yoxlanılması Müstəqil İnzibati Palatanın səlahiyyətinə aid deyildir.</w:t>
      </w:r>
    </w:p>
    <w:p w:rsidRPr="00D43B7C" w:rsidR="004719A7" w:rsidP="00924A59" w:rsidRDefault="004719A7">
      <w:pPr>
        <w:pStyle w:val="JuHIRoman"/>
        <w:outlineLvl w:val="0"/>
        <w:rPr>
          <w:lang w:val="az-Latn-AZ"/>
        </w:rPr>
      </w:pPr>
      <w:r w:rsidRPr="00D43B7C">
        <w:rPr>
          <w:lang w:val="az-Latn-AZ"/>
        </w:rPr>
        <w:t>II.  </w:t>
      </w:r>
      <w:r w:rsidRPr="00D43B7C" w:rsidR="002D5E6D">
        <w:rPr>
          <w:lang w:val="az-Latn-AZ"/>
        </w:rPr>
        <w:t>MÜVAFİQ DAXİLİ QANUNVERİCİLİK VƏ TƏCRÜBƏ</w:t>
      </w:r>
    </w:p>
    <w:p w:rsidR="00A77C80" w:rsidP="004719A7" w:rsidRDefault="004719A7">
      <w:pPr>
        <w:pStyle w:val="JuHA"/>
        <w:rPr>
          <w:lang w:val="az-Latn-AZ"/>
        </w:rPr>
      </w:pPr>
      <w:r w:rsidRPr="00D43B7C">
        <w:rPr>
          <w:lang w:val="az-Latn-AZ"/>
        </w:rPr>
        <w:t>A</w:t>
      </w:r>
      <w:r w:rsidRPr="00D43B7C" w:rsidR="00E63564">
        <w:rPr>
          <w:lang w:val="az-Latn-AZ"/>
        </w:rPr>
        <w:t>.  </w:t>
      </w:r>
      <w:r w:rsidRPr="00D43B7C" w:rsidR="0009019F">
        <w:rPr>
          <w:lang w:val="az-Latn-AZ"/>
        </w:rPr>
        <w:t>Axtarış və müsadirəyə dair Cinayət Prosessual Məcəlləsinin müddəaları</w:t>
      </w:r>
    </w:p>
    <w:p w:rsidRPr="00D43B7C" w:rsidR="00E63564" w:rsidP="00E63564" w:rsidRDefault="004719A7">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27</w:t>
      </w:r>
      <w:r w:rsidRPr="00D43B7C">
        <w:rPr>
          <w:lang w:val="az-Latn-AZ"/>
        </w:rPr>
        <w:fldChar w:fldCharType="end"/>
      </w:r>
      <w:r w:rsidRPr="00D43B7C">
        <w:rPr>
          <w:lang w:val="az-Latn-AZ"/>
        </w:rPr>
        <w:t>. </w:t>
      </w:r>
      <w:r w:rsidRPr="00D43B7C" w:rsidR="0009019F">
        <w:rPr>
          <w:lang w:val="az-Latn-AZ"/>
        </w:rPr>
        <w:t>Cinayət Prosessual Məcəlləsinin (</w:t>
      </w:r>
      <w:r w:rsidRPr="00D43B7C" w:rsidR="0009019F">
        <w:rPr>
          <w:i/>
          <w:lang w:val="az-Latn-AZ"/>
        </w:rPr>
        <w:t>Strafprozeßordnung</w:t>
      </w:r>
      <w:r w:rsidRPr="00D43B7C" w:rsidR="0009019F">
        <w:rPr>
          <w:lang w:val="az-Latn-AZ"/>
        </w:rPr>
        <w:t>)</w:t>
      </w:r>
      <w:r w:rsidR="00A77C80">
        <w:rPr>
          <w:lang w:val="az-Latn-AZ"/>
        </w:rPr>
        <w:t xml:space="preserve"> </w:t>
      </w:r>
      <w:r w:rsidRPr="00D43B7C" w:rsidR="0009019F">
        <w:rPr>
          <w:lang w:val="az-Latn-AZ"/>
        </w:rPr>
        <w:t>139 və 149-cu maddələri mülkiyyətin və şəxslərin axtarışına və əşyaların müsadirəsinə həsr edilib.</w:t>
      </w:r>
    </w:p>
    <w:p w:rsidR="00E90062"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28</w:t>
      </w:r>
      <w:r w:rsidRPr="00D43B7C">
        <w:rPr>
          <w:lang w:val="az-Latn-AZ"/>
        </w:rPr>
        <w:fldChar w:fldCharType="end"/>
      </w:r>
      <w:r w:rsidRPr="00D43B7C">
        <w:rPr>
          <w:lang w:val="az-Latn-AZ"/>
        </w:rPr>
        <w:t>. </w:t>
      </w:r>
      <w:r w:rsidRPr="00D43B7C" w:rsidR="0009019F">
        <w:rPr>
          <w:lang w:val="az-Latn-AZ"/>
        </w:rPr>
        <w:t xml:space="preserve">139-cu maddənin 1-ci bəndi xüsusi </w:t>
      </w:r>
      <w:r w:rsidRPr="00D43B7C" w:rsidR="00A76E4B">
        <w:rPr>
          <w:lang w:val="az-Latn-AZ"/>
        </w:rPr>
        <w:t>olaraq</w:t>
      </w:r>
      <w:r w:rsidRPr="00D43B7C" w:rsidR="0009019F">
        <w:rPr>
          <w:lang w:val="az-Latn-AZ"/>
        </w:rPr>
        <w:t xml:space="preserve"> axtarışın cinayət törətməkdə şübhəli bilinən şəxsin sözügedən mülkiyyətdə gizləndiyinə, yaxud orada konkret cinayət araşdırmasına aid olan əşyalar</w:t>
      </w:r>
      <w:r w:rsidRPr="00D43B7C" w:rsidR="00A76E4B">
        <w:rPr>
          <w:lang w:val="az-Latn-AZ"/>
        </w:rPr>
        <w:t xml:space="preserve"> olmasına</w:t>
      </w:r>
      <w:r w:rsidRPr="00D43B7C" w:rsidR="0009019F">
        <w:rPr>
          <w:lang w:val="az-Latn-AZ"/>
        </w:rPr>
        <w:t xml:space="preserve"> </w:t>
      </w:r>
      <w:r w:rsidRPr="00D43B7C" w:rsidR="00A76E4B">
        <w:rPr>
          <w:lang w:val="az-Latn-AZ"/>
        </w:rPr>
        <w:t xml:space="preserve">dair </w:t>
      </w:r>
      <w:r w:rsidRPr="00D43B7C" w:rsidR="0009019F">
        <w:rPr>
          <w:lang w:val="az-Latn-AZ"/>
        </w:rPr>
        <w:t xml:space="preserve">ağlabatan şübhə </w:t>
      </w:r>
      <w:r w:rsidRPr="00D43B7C" w:rsidR="00A76E4B">
        <w:rPr>
          <w:lang w:val="az-Latn-AZ"/>
        </w:rPr>
        <w:t>olduğu halda hə</w:t>
      </w:r>
      <w:r w:rsidRPr="00D43B7C" w:rsidR="0009019F">
        <w:rPr>
          <w:lang w:val="az-Latn-AZ"/>
        </w:rPr>
        <w:t>yata keçiril</w:t>
      </w:r>
      <w:r w:rsidRPr="00D43B7C" w:rsidR="00A76E4B">
        <w:rPr>
          <w:lang w:val="az-Latn-AZ"/>
        </w:rPr>
        <w:t>məsini</w:t>
      </w:r>
      <w:r w:rsidRPr="00D43B7C" w:rsidR="0009019F">
        <w:rPr>
          <w:lang w:val="az-Latn-AZ"/>
        </w:rPr>
        <w:t xml:space="preserve"> nəzərdə tutur.</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29</w:t>
      </w:r>
      <w:r w:rsidRPr="00D43B7C">
        <w:rPr>
          <w:lang w:val="az-Latn-AZ"/>
        </w:rPr>
        <w:fldChar w:fldCharType="end"/>
      </w:r>
      <w:r w:rsidRPr="00D43B7C">
        <w:rPr>
          <w:lang w:val="az-Latn-AZ"/>
        </w:rPr>
        <w:t>. </w:t>
      </w:r>
      <w:r w:rsidRPr="00D43B7C" w:rsidR="00A76E4B">
        <w:rPr>
          <w:lang w:val="az-Latn-AZ"/>
        </w:rPr>
        <w:t>140-cı maddənin 1 və 2-ci bəndlərinə uyğun olaraq, axtarış ümumilikdə sözügedən şəxsin dindiril</w:t>
      </w:r>
      <w:r w:rsidRPr="00D43B7C" w:rsidR="00636483">
        <w:rPr>
          <w:lang w:val="az-Latn-AZ"/>
        </w:rPr>
        <w:t>məs</w:t>
      </w:r>
      <w:r w:rsidRPr="00D43B7C" w:rsidR="00A76E4B">
        <w:rPr>
          <w:lang w:val="az-Latn-AZ"/>
        </w:rPr>
        <w:t>indən sonra</w:t>
      </w:r>
      <w:r w:rsidRPr="00D43B7C">
        <w:rPr>
          <w:lang w:val="az-Latn-AZ"/>
        </w:rPr>
        <w:t> </w:t>
      </w:r>
      <w:r w:rsidRPr="00D43B7C" w:rsidR="00A76E4B">
        <w:rPr>
          <w:lang w:val="az-Latn-AZ"/>
        </w:rPr>
        <w:t xml:space="preserve">həyata keçirilməlidir və </w:t>
      </w:r>
      <w:r w:rsidRPr="00D43B7C" w:rsidR="00CC6AF0">
        <w:rPr>
          <w:lang w:val="az-Latn-AZ"/>
        </w:rPr>
        <w:t>yalnız axtarılan şəxs öz iradəsi ilə gəlmədiyi və ya axtarılan əşya(lar) könüllü olaraq təqdim edilmədiyi</w:t>
      </w:r>
      <w:r w:rsidR="00A77C80">
        <w:rPr>
          <w:lang w:val="az-Latn-AZ"/>
        </w:rPr>
        <w:t xml:space="preserve"> </w:t>
      </w:r>
      <w:r w:rsidRPr="00D43B7C" w:rsidR="00CC6AF0">
        <w:rPr>
          <w:lang w:val="az-Latn-AZ"/>
        </w:rPr>
        <w:t>və axtarışa səbəb olan səbəblər aradan qaldırılmadığı hallarda həyata keçirilə bilər. Yubanma təhlükə yaradarsa belə dindirmə tələb olunmur.</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30</w:t>
      </w:r>
      <w:r w:rsidRPr="00D43B7C">
        <w:rPr>
          <w:lang w:val="az-Latn-AZ"/>
        </w:rPr>
        <w:fldChar w:fldCharType="end"/>
      </w:r>
      <w:r w:rsidRPr="00D43B7C">
        <w:rPr>
          <w:lang w:val="az-Latn-AZ"/>
        </w:rPr>
        <w:t>.  </w:t>
      </w:r>
      <w:r w:rsidRPr="00D43B7C" w:rsidR="00CC6AF0">
        <w:rPr>
          <w:lang w:val="az-Latn-AZ"/>
        </w:rPr>
        <w:t>140-cı maddənin 3-cü bəndi axtarışın</w:t>
      </w:r>
      <w:r w:rsidRPr="00D43B7C" w:rsidR="00405F16">
        <w:rPr>
          <w:lang w:val="az-Latn-AZ"/>
        </w:rPr>
        <w:t>, bir qayda olaraq,</w:t>
      </w:r>
      <w:r w:rsidRPr="00D43B7C" w:rsidR="00CC6AF0">
        <w:rPr>
          <w:lang w:val="az-Latn-AZ"/>
        </w:rPr>
        <w:t xml:space="preserve"> </w:t>
      </w:r>
      <w:r w:rsidRPr="00D43B7C" w:rsidR="00405F16">
        <w:rPr>
          <w:lang w:val="az-Latn-AZ"/>
        </w:rPr>
        <w:t>yalnız hakim tərəfindən verilən əsaslandırılmış axtarış orderinin əsasında həyata keçirilə bildiyini qeyd edir.</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31</w:t>
      </w:r>
      <w:r w:rsidRPr="00D43B7C">
        <w:rPr>
          <w:lang w:val="az-Latn-AZ"/>
        </w:rPr>
        <w:fldChar w:fldCharType="end"/>
      </w:r>
      <w:r w:rsidRPr="00D43B7C">
        <w:rPr>
          <w:lang w:val="az-Latn-AZ"/>
        </w:rPr>
        <w:t>.</w:t>
      </w:r>
      <w:r w:rsidRPr="00D43B7C" w:rsidR="00405F16">
        <w:rPr>
          <w:lang w:val="az-Latn-AZ"/>
        </w:rPr>
        <w:t xml:space="preserve"> 142-ci maddənin 2 və 3-cü bəndlərinə uyğun olaraq, axtarış zamanı axtarışa məruz qalan mülkiyyətin icarəçisi, yaxud</w:t>
      </w:r>
      <w:r w:rsidRPr="00D43B7C">
        <w:rPr>
          <w:lang w:val="az-Latn-AZ"/>
        </w:rPr>
        <w:t> </w:t>
      </w:r>
      <w:r w:rsidRPr="00D43B7C" w:rsidR="00405F16">
        <w:rPr>
          <w:lang w:val="az-Latn-AZ"/>
        </w:rPr>
        <w:t>o olmadıqda onun qohumu iştirak etməlidir. Protokol tərtib edilməlidir və bütün iştirak edənlər tərəfindən imzalanmalıdır.</w:t>
      </w:r>
    </w:p>
    <w:p w:rsidR="00A77C80" w:rsidP="00F115CB"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32</w:t>
      </w:r>
      <w:r w:rsidRPr="00D43B7C">
        <w:rPr>
          <w:lang w:val="az-Latn-AZ"/>
        </w:rPr>
        <w:fldChar w:fldCharType="end"/>
      </w:r>
      <w:r w:rsidRPr="00D43B7C">
        <w:rPr>
          <w:lang w:val="az-Latn-AZ"/>
        </w:rPr>
        <w:t>.  </w:t>
      </w:r>
      <w:r w:rsidRPr="00D43B7C" w:rsidR="00405F16">
        <w:rPr>
          <w:lang w:val="az-Latn-AZ"/>
        </w:rPr>
        <w:t xml:space="preserve">Cinayət Prosessual Məcəlləsinin 143-cü maddəsinin 1-ci bəndi istintaqa aid və ya məhvetmə və ya müsadirəyə məruz qalan əşyalar tapıldıqda onlar sadalanmalı və toxunulmaz saxlanılması üçün məhkəməyə göndərilməli və ya götürülməli olduğunu nəzərdə tutur. </w:t>
      </w:r>
      <w:r w:rsidRPr="00D43B7C" w:rsidR="008959A1">
        <w:rPr>
          <w:lang w:val="az-Latn-AZ"/>
        </w:rPr>
        <w:t>Bu baxımda</w:t>
      </w:r>
      <w:r w:rsidRPr="00D43B7C" w:rsidR="001E11E2">
        <w:rPr>
          <w:lang w:val="az-Latn-AZ"/>
        </w:rPr>
        <w:t>n</w:t>
      </w:r>
      <w:r w:rsidRPr="00D43B7C" w:rsidR="008959A1">
        <w:rPr>
          <w:lang w:val="az-Latn-AZ"/>
        </w:rPr>
        <w:t xml:space="preserve"> toxunulmaz saxlanılan əşyalar</w:t>
      </w:r>
      <w:r w:rsidRPr="00D43B7C" w:rsidR="00D31CAD">
        <w:rPr>
          <w:lang w:val="az-Latn-AZ"/>
        </w:rPr>
        <w:t xml:space="preserve">ın zərfə qoyulmalı və məhkəmə tərəfindən möhürlənməli olduğunu və ya </w:t>
      </w:r>
      <w:r w:rsidRPr="00D43B7C" w:rsidR="00DD2142">
        <w:rPr>
          <w:lang w:val="az-Latn-AZ"/>
        </w:rPr>
        <w:t>hər hansı əvəzetmə və ya çaşqınlığın qarşısın</w:t>
      </w:r>
      <w:r w:rsidRPr="00D43B7C" w:rsidR="0028158A">
        <w:rPr>
          <w:lang w:val="az-Latn-AZ"/>
        </w:rPr>
        <w:t>ı</w:t>
      </w:r>
      <w:r w:rsidRPr="00D43B7C" w:rsidR="00DD2142">
        <w:rPr>
          <w:lang w:val="az-Latn-AZ"/>
        </w:rPr>
        <w:t xml:space="preserve"> almaq üçün </w:t>
      </w:r>
      <w:r w:rsidRPr="00D43B7C" w:rsidR="00D31CAD">
        <w:rPr>
          <w:lang w:val="az-Latn-AZ"/>
        </w:rPr>
        <w:t>etiketlənmə</w:t>
      </w:r>
      <w:r w:rsidRPr="00D43B7C" w:rsidR="00DD2142">
        <w:rPr>
          <w:lang w:val="az-Latn-AZ"/>
        </w:rPr>
        <w:t>l</w:t>
      </w:r>
      <w:r w:rsidRPr="00D43B7C" w:rsidR="00D31CAD">
        <w:rPr>
          <w:lang w:val="az-Latn-AZ"/>
        </w:rPr>
        <w:t>i</w:t>
      </w:r>
      <w:r w:rsidRPr="00D43B7C" w:rsidR="00DD2142">
        <w:rPr>
          <w:lang w:val="az-Latn-AZ"/>
        </w:rPr>
        <w:t xml:space="preserve"> </w:t>
      </w:r>
      <w:r w:rsidR="00F81DAA">
        <w:rPr>
          <w:lang w:val="az-Latn-AZ"/>
        </w:rPr>
        <w:t xml:space="preserve">(möhürlənməli) </w:t>
      </w:r>
      <w:r w:rsidRPr="00D43B7C" w:rsidR="00DD2142">
        <w:rPr>
          <w:lang w:val="az-Latn-AZ"/>
        </w:rPr>
        <w:t>ol</w:t>
      </w:r>
      <w:r w:rsidRPr="00D43B7C" w:rsidR="00892B20">
        <w:rPr>
          <w:lang w:val="az-Latn-AZ"/>
        </w:rPr>
        <w:t>duğunu</w:t>
      </w:r>
      <w:r w:rsidRPr="00D43B7C" w:rsidR="00DD2142">
        <w:rPr>
          <w:lang w:val="az-Latn-AZ"/>
        </w:rPr>
        <w:t xml:space="preserve"> nəzərdə tutan </w:t>
      </w:r>
      <w:r w:rsidRPr="00D43B7C" w:rsidR="008959A1">
        <w:rPr>
          <w:lang w:val="az-Latn-AZ"/>
        </w:rPr>
        <w:t>98-ci maddəyə istinad edilir</w:t>
      </w:r>
      <w:r w:rsidRPr="00D43B7C" w:rsidR="00D31CAD">
        <w:rPr>
          <w:lang w:val="az-Latn-AZ"/>
        </w:rPr>
        <w:t>.</w:t>
      </w:r>
    </w:p>
    <w:p w:rsidRPr="00D43B7C" w:rsidR="00A430CA" w:rsidP="0015324E" w:rsidRDefault="000E53AE">
      <w:pPr>
        <w:pStyle w:val="JuPara"/>
        <w:keepNext/>
        <w:keepLines/>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33</w:t>
      </w:r>
      <w:r w:rsidRPr="00D43B7C">
        <w:rPr>
          <w:lang w:val="az-Latn-AZ"/>
        </w:rPr>
        <w:fldChar w:fldCharType="end"/>
      </w:r>
      <w:r w:rsidRPr="00D43B7C">
        <w:rPr>
          <w:lang w:val="az-Latn-AZ"/>
        </w:rPr>
        <w:t>.  </w:t>
      </w:r>
      <w:r w:rsidRPr="00D43B7C" w:rsidR="00A430CA">
        <w:rPr>
          <w:lang w:val="az-Latn-AZ"/>
        </w:rPr>
        <w:t>145-ci maddədə deyilir:</w:t>
      </w:r>
    </w:p>
    <w:p w:rsidR="00E90062" w:rsidP="0015324E" w:rsidRDefault="00A430CA">
      <w:pPr>
        <w:pStyle w:val="JuQuot"/>
        <w:keepNext/>
        <w:keepLines/>
        <w:spacing w:after="0"/>
        <w:rPr>
          <w:lang w:val="az-Latn-AZ"/>
        </w:rPr>
      </w:pPr>
      <w:r w:rsidRPr="00D43B7C">
        <w:rPr>
          <w:lang w:val="az-Latn-AZ"/>
        </w:rPr>
        <w:t xml:space="preserve"> </w:t>
      </w:r>
      <w:r w:rsidRPr="00D43B7C" w:rsidR="00E63564">
        <w:rPr>
          <w:lang w:val="az-Latn-AZ"/>
        </w:rPr>
        <w:t>“1. </w:t>
      </w:r>
      <w:r w:rsidRPr="00D43B7C">
        <w:rPr>
          <w:lang w:val="az-Latn-AZ"/>
        </w:rPr>
        <w:t>Sənədlərdə axtarış keçirən zaman onların məzmununun kənar şəxslərə bəlli olmasının qarşısını almaq üçün tədbirlər görülməlidir.</w:t>
      </w:r>
    </w:p>
    <w:p w:rsidRPr="00D43B7C" w:rsidR="00E63564" w:rsidP="00E63564" w:rsidRDefault="00E63564">
      <w:pPr>
        <w:pStyle w:val="JuQuot"/>
        <w:rPr>
          <w:lang w:val="az-Latn-AZ"/>
        </w:rPr>
      </w:pPr>
      <w:r w:rsidRPr="00D43B7C">
        <w:rPr>
          <w:lang w:val="az-Latn-AZ"/>
        </w:rPr>
        <w:t>2.  </w:t>
      </w:r>
      <w:r w:rsidRPr="00D43B7C" w:rsidR="00A430CA">
        <w:rPr>
          <w:lang w:val="az-Latn-AZ"/>
        </w:rPr>
        <w:t>Əgər sənədlərin sahibi onlar üzərində axtarışın keçirilməsini istəmirsə, onlar möhürlənməli və məhkəməyə təqdim edilməlidir; Nəzarət Palatası dərhal onların araşdırılmalı və ya geri qaytarılmalı olduğunu müəyyən etməlidir.</w:t>
      </w:r>
      <w:r w:rsidRPr="00D43B7C">
        <w:rPr>
          <w:lang w:val="az-Latn-AZ"/>
        </w:rPr>
        <w:t>”</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34</w:t>
      </w:r>
      <w:r w:rsidRPr="00D43B7C">
        <w:rPr>
          <w:lang w:val="az-Latn-AZ"/>
        </w:rPr>
        <w:fldChar w:fldCharType="end"/>
      </w:r>
      <w:r w:rsidRPr="00D43B7C">
        <w:rPr>
          <w:lang w:val="az-Latn-AZ"/>
        </w:rPr>
        <w:t>.</w:t>
      </w:r>
      <w:r w:rsidRPr="00D43B7C" w:rsidR="00A430CA">
        <w:rPr>
          <w:lang w:val="az-Latn-AZ"/>
        </w:rPr>
        <w:t xml:space="preserve"> Alimlərin fikri ilə üst-üstə düşən (bax: Bertl/Vernier, </w:t>
      </w:r>
      <w:r w:rsidRPr="00D43B7C" w:rsidR="00A430CA">
        <w:rPr>
          <w:i/>
          <w:lang w:val="az-Latn-AZ"/>
        </w:rPr>
        <w:t>Grundriss des österreichischen Strafprozessrechts</w:t>
      </w:r>
      <w:r w:rsidRPr="00D43B7C" w:rsidR="00A430CA">
        <w:rPr>
          <w:lang w:val="az-Latn-AZ"/>
        </w:rPr>
        <w:t>, 7</w:t>
      </w:r>
      <w:r w:rsidRPr="00D43B7C" w:rsidR="001C1A36">
        <w:rPr>
          <w:lang w:val="az-Latn-AZ"/>
        </w:rPr>
        <w:t>-ci nəşr</w:t>
      </w:r>
      <w:r w:rsidRPr="00D43B7C" w:rsidR="00A430CA">
        <w:rPr>
          <w:lang w:val="az-Latn-AZ"/>
        </w:rPr>
        <w:t>) məhkəmələrin əvvəlki təcrübəsinə əsasən</w:t>
      </w:r>
      <w:r w:rsidRPr="00D43B7C" w:rsidR="001C1A36">
        <w:rPr>
          <w:lang w:val="az-Latn-AZ"/>
        </w:rPr>
        <w:t xml:space="preserve"> ka</w:t>
      </w:r>
      <w:r w:rsidRPr="00D43B7C" w:rsidR="0028158A">
        <w:rPr>
          <w:lang w:val="az-Latn-AZ"/>
        </w:rPr>
        <w:t>ğ</w:t>
      </w:r>
      <w:r w:rsidRPr="00D43B7C" w:rsidR="001C1A36">
        <w:rPr>
          <w:lang w:val="az-Latn-AZ"/>
        </w:rPr>
        <w:t xml:space="preserve">ız sənədlərin axtarışa və müsadirəsinə dair müvafiq müddəalar </w:t>
      </w:r>
      <w:r w:rsidRPr="00D43B7C" w:rsidR="001C1A36">
        <w:rPr>
          <w:i/>
          <w:lang w:val="az-Latn-AZ"/>
        </w:rPr>
        <w:t xml:space="preserve">mutatis mutandis </w:t>
      </w:r>
      <w:r w:rsidRPr="00D43B7C" w:rsidR="001C1A36">
        <w:rPr>
          <w:lang w:val="az-Latn-AZ"/>
        </w:rPr>
        <w:t>elektron məlumatların da axtarışına və müsadirəsinə tətbiq edilir. Əgər məlumatın saxlanıldığı dis</w:t>
      </w:r>
      <w:r w:rsidRPr="00D43B7C" w:rsidR="0028158A">
        <w:rPr>
          <w:lang w:val="az-Latn-AZ"/>
        </w:rPr>
        <w:t>k</w:t>
      </w:r>
      <w:r w:rsidRPr="00D43B7C" w:rsidR="001C1A36">
        <w:rPr>
          <w:lang w:val="az-Latn-AZ"/>
        </w:rPr>
        <w:t xml:space="preserve">lərin və ya </w:t>
      </w:r>
      <w:r w:rsidRPr="00F81DAA" w:rsidR="001C1A36">
        <w:rPr>
          <w:lang w:val="az-Latn-AZ"/>
        </w:rPr>
        <w:t>hard disklərin</w:t>
      </w:r>
      <w:r w:rsidRPr="00D43B7C" w:rsidR="001C1A36">
        <w:rPr>
          <w:lang w:val="az-Latn-AZ"/>
        </w:rPr>
        <w:t xml:space="preserve"> sahibi onların axtarışa məruz qalmasına etiraz edirsə, məlumat daşıyıcıları möhürlənməlidir və </w:t>
      </w:r>
      <w:r w:rsidR="00155C65">
        <w:rPr>
          <w:lang w:val="az-Latn-AZ"/>
        </w:rPr>
        <w:t>Təhlil</w:t>
      </w:r>
      <w:r w:rsidRPr="00D43B7C" w:rsidR="001C1A36">
        <w:rPr>
          <w:lang w:val="az-Latn-AZ"/>
        </w:rPr>
        <w:t xml:space="preserve"> Palatası onların araşdırılıb-araşdırılmamasına dair qərar qəbul etməlidir.</w:t>
      </w:r>
    </w:p>
    <w:p w:rsidRPr="00D43B7C" w:rsidR="00E63564" w:rsidP="00924A59" w:rsidRDefault="004719A7">
      <w:pPr>
        <w:pStyle w:val="JuHA"/>
        <w:outlineLvl w:val="0"/>
        <w:rPr>
          <w:lang w:val="az-Latn-AZ"/>
        </w:rPr>
      </w:pPr>
      <w:r w:rsidRPr="00D43B7C">
        <w:rPr>
          <w:lang w:val="az-Latn-AZ"/>
        </w:rPr>
        <w:t>B</w:t>
      </w:r>
      <w:r w:rsidRPr="00D43B7C" w:rsidR="00E63564">
        <w:rPr>
          <w:lang w:val="az-Latn-AZ"/>
        </w:rPr>
        <w:t>. </w:t>
      </w:r>
      <w:r w:rsidRPr="00D43B7C" w:rsidR="001C1A36">
        <w:rPr>
          <w:lang w:val="az-Latn-AZ"/>
        </w:rPr>
        <w:t>Vəkillərin peşə sirrinə aid müddəalar</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35</w:t>
      </w:r>
      <w:r w:rsidRPr="00D43B7C">
        <w:rPr>
          <w:lang w:val="az-Latn-AZ"/>
        </w:rPr>
        <w:fldChar w:fldCharType="end"/>
      </w:r>
      <w:r w:rsidRPr="00D43B7C">
        <w:rPr>
          <w:lang w:val="az-Latn-AZ"/>
        </w:rPr>
        <w:t>.  </w:t>
      </w:r>
      <w:r w:rsidRPr="00D43B7C" w:rsidR="001C1A36">
        <w:rPr>
          <w:lang w:val="az-Latn-AZ"/>
        </w:rPr>
        <w:t>Avstriyanın Vəkill</w:t>
      </w:r>
      <w:r w:rsidRPr="00D43B7C" w:rsidR="0028158A">
        <w:rPr>
          <w:lang w:val="az-Latn-AZ"/>
        </w:rPr>
        <w:t>ə</w:t>
      </w:r>
      <w:r w:rsidRPr="00D43B7C" w:rsidR="001C1A36">
        <w:rPr>
          <w:lang w:val="az-Latn-AZ"/>
        </w:rPr>
        <w:t>r haqqında Qanununun (</w:t>
      </w:r>
      <w:r w:rsidRPr="00D43B7C" w:rsidR="001C1A36">
        <w:rPr>
          <w:i/>
          <w:lang w:val="az-Latn-AZ"/>
        </w:rPr>
        <w:t>Rechtsanwaltsordnung</w:t>
      </w:r>
      <w:r w:rsidRPr="00D43B7C" w:rsidR="001C1A36">
        <w:rPr>
          <w:lang w:val="az-Latn-AZ"/>
        </w:rPr>
        <w:t xml:space="preserve">) 9-cu maddəsi peşə sirrini saxlamaq vəzifəsi </w:t>
      </w:r>
      <w:r w:rsidR="00C82EFE">
        <w:rPr>
          <w:lang w:val="az-Latn-AZ"/>
        </w:rPr>
        <w:t xml:space="preserve">də </w:t>
      </w:r>
      <w:r w:rsidRPr="00D43B7C" w:rsidR="001C1A36">
        <w:rPr>
          <w:lang w:val="az-Latn-AZ"/>
        </w:rPr>
        <w:t xml:space="preserve">daxil </w:t>
      </w:r>
      <w:r w:rsidRPr="00D43B7C" w:rsidR="00636483">
        <w:rPr>
          <w:lang w:val="az-Latn-AZ"/>
        </w:rPr>
        <w:t xml:space="preserve">olmaqla </w:t>
      </w:r>
      <w:r w:rsidRPr="00D43B7C" w:rsidR="001C1A36">
        <w:rPr>
          <w:lang w:val="az-Latn-AZ"/>
        </w:rPr>
        <w:t>vəkillərin peşə vəzifələrini tənzimləyir.</w:t>
      </w:r>
    </w:p>
    <w:p w:rsidRPr="00D43B7C" w:rsidR="001C1A36"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36</w:t>
      </w:r>
      <w:r w:rsidRPr="00D43B7C">
        <w:rPr>
          <w:lang w:val="az-Latn-AZ"/>
        </w:rPr>
        <w:fldChar w:fldCharType="end"/>
      </w:r>
      <w:r w:rsidRPr="00D43B7C">
        <w:rPr>
          <w:lang w:val="az-Latn-AZ"/>
        </w:rPr>
        <w:t>.  </w:t>
      </w:r>
      <w:r w:rsidRPr="00D43B7C" w:rsidR="001C1A36">
        <w:rPr>
          <w:lang w:val="az-Latn-AZ"/>
        </w:rPr>
        <w:t xml:space="preserve">Cinayət Prosessual Məcəllənin 152-ci maddəsinin 1-ci bəndi vəkilləri, notariusları və </w:t>
      </w:r>
      <w:r w:rsidR="00C82EFE">
        <w:rPr>
          <w:lang w:val="az-Latn-AZ"/>
        </w:rPr>
        <w:t>biznes trestlə</w:t>
      </w:r>
      <w:r w:rsidRPr="00EE6609" w:rsidR="001C1A36">
        <w:rPr>
          <w:lang w:val="az-Latn-AZ"/>
        </w:rPr>
        <w:t>rını</w:t>
      </w:r>
      <w:r w:rsidRPr="00D43B7C" w:rsidR="001C1A36">
        <w:rPr>
          <w:lang w:val="az-Latn-AZ"/>
        </w:rPr>
        <w:t xml:space="preserve"> öz peşə vəzifəsini icra edərkən onlara məlum olan məlumatlara dair şahid kimi ifadə verməkdən azad edir.</w:t>
      </w:r>
    </w:p>
    <w:p w:rsidR="00A77C80" w:rsidP="001C1A36"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37</w:t>
      </w:r>
      <w:r w:rsidRPr="00D43B7C">
        <w:rPr>
          <w:lang w:val="az-Latn-AZ"/>
        </w:rPr>
        <w:fldChar w:fldCharType="end"/>
      </w:r>
      <w:r w:rsidRPr="00D43B7C">
        <w:rPr>
          <w:lang w:val="az-Latn-AZ"/>
        </w:rPr>
        <w:t>. </w:t>
      </w:r>
      <w:r w:rsidRPr="00D43B7C" w:rsidR="001C1A36">
        <w:rPr>
          <w:lang w:val="az-Latn-AZ"/>
        </w:rPr>
        <w:t>Oturuşmuş</w:t>
      </w:r>
      <w:r w:rsidRPr="00D43B7C">
        <w:rPr>
          <w:lang w:val="az-Latn-AZ"/>
        </w:rPr>
        <w:t> </w:t>
      </w:r>
      <w:r w:rsidRPr="00D43B7C" w:rsidR="001C1A36">
        <w:rPr>
          <w:lang w:val="az-Latn-AZ"/>
        </w:rPr>
        <w:t>məhkəmə təcrübəsinə əsasən peşə sirrini daşıyan məlumatları əks etdirən sənədlər müsadirə oluna və cinayət işi üzrə istintaqda istifadə edilə bilməz.</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38</w:t>
      </w:r>
      <w:r w:rsidRPr="00D43B7C">
        <w:rPr>
          <w:lang w:val="az-Latn-AZ"/>
        </w:rPr>
        <w:fldChar w:fldCharType="end"/>
      </w:r>
      <w:r w:rsidRPr="00D43B7C">
        <w:rPr>
          <w:lang w:val="az-Latn-AZ"/>
        </w:rPr>
        <w:t>.  </w:t>
      </w:r>
      <w:r w:rsidRPr="00D43B7C" w:rsidR="001C1A36">
        <w:rPr>
          <w:lang w:val="az-Latn-AZ"/>
        </w:rPr>
        <w:t>Federal Ədliyyə Nazirliyinin 21 iyul 1972-ci il tarixli təlimatına (</w:t>
      </w:r>
      <w:r w:rsidRPr="00D43B7C" w:rsidR="001C1A36">
        <w:rPr>
          <w:i/>
          <w:lang w:val="az-Latn-AZ"/>
        </w:rPr>
        <w:t>Erlaß</w:t>
      </w:r>
      <w:r w:rsidRPr="00D43B7C" w:rsidR="001C1A36">
        <w:rPr>
          <w:lang w:val="az-Latn-AZ"/>
        </w:rPr>
        <w:t>) əsasən, müvafiq Vəkillər Kollegiyasının nümayəndəsi vəkilin ofisində axtarış keçirilərkən axtarışın peşə sirrinə toxunmamasını təmin etmək üçün iştirak etməlidir.</w:t>
      </w:r>
    </w:p>
    <w:p w:rsidR="00A77C80" w:rsidP="00924A59" w:rsidRDefault="004719A7">
      <w:pPr>
        <w:pStyle w:val="JuHA"/>
        <w:outlineLvl w:val="0"/>
        <w:rPr>
          <w:lang w:val="az-Latn-AZ"/>
        </w:rPr>
      </w:pPr>
      <w:r w:rsidRPr="00D43B7C">
        <w:rPr>
          <w:lang w:val="az-Latn-AZ"/>
        </w:rPr>
        <w:t>C</w:t>
      </w:r>
      <w:r w:rsidRPr="00D43B7C" w:rsidR="00E63564">
        <w:rPr>
          <w:lang w:val="az-Latn-AZ"/>
        </w:rPr>
        <w:t>. </w:t>
      </w:r>
      <w:r w:rsidRPr="00D43B7C" w:rsidR="004D094C">
        <w:rPr>
          <w:lang w:val="az-Latn-AZ"/>
        </w:rPr>
        <w:t>Müstəqil İnzibati Palata tərəfindən yenidən baxış (</w:t>
      </w:r>
      <w:r w:rsidRPr="00D43B7C" w:rsidR="00E63564">
        <w:rPr>
          <w:lang w:val="az-Latn-AZ"/>
        </w:rPr>
        <w:t>Review</w:t>
      </w:r>
      <w:r w:rsidRPr="00D43B7C" w:rsidR="004D094C">
        <w:rPr>
          <w:lang w:val="az-Latn-AZ"/>
        </w:rPr>
        <w:t>)</w:t>
      </w:r>
    </w:p>
    <w:p w:rsidR="00A77C80" w:rsidP="00E635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39</w:t>
      </w:r>
      <w:r w:rsidRPr="00D43B7C">
        <w:rPr>
          <w:lang w:val="az-Latn-AZ"/>
        </w:rPr>
        <w:fldChar w:fldCharType="end"/>
      </w:r>
      <w:r w:rsidRPr="00D43B7C">
        <w:rPr>
          <w:lang w:val="az-Latn-AZ"/>
        </w:rPr>
        <w:t>. </w:t>
      </w:r>
      <w:r w:rsidRPr="00D43B7C" w:rsidR="004D094C">
        <w:rPr>
          <w:lang w:val="az-Latn-AZ"/>
        </w:rPr>
        <w:t>Ümumi İnzibati Proses haqqında Qanunun (</w:t>
      </w:r>
      <w:r w:rsidRPr="00D43B7C" w:rsidR="004D094C">
        <w:rPr>
          <w:i/>
          <w:lang w:val="az-Latn-AZ"/>
        </w:rPr>
        <w:t>Allgemeines Verwaltungsverfahrensgesetz</w:t>
      </w:r>
      <w:r w:rsidRPr="00D43B7C" w:rsidR="004D094C">
        <w:rPr>
          <w:lang w:val="az-Latn-AZ"/>
        </w:rPr>
        <w:t>) 67a(1) maddəsinə uyğun olaraq, Müstəqil İnzibati Palatanın</w:t>
      </w:r>
      <w:r w:rsidRPr="00D43B7C" w:rsidR="00176A92">
        <w:rPr>
          <w:lang w:val="az-Latn-AZ"/>
        </w:rPr>
        <w:t xml:space="preserve"> digər vəzifələri ilə yanaşı</w:t>
      </w:r>
      <w:r w:rsidRPr="00D43B7C" w:rsidR="00636483">
        <w:rPr>
          <w:lang w:val="az-Latn-AZ"/>
        </w:rPr>
        <w:t>,</w:t>
      </w:r>
      <w:r w:rsidRPr="00D43B7C" w:rsidR="00176A92">
        <w:rPr>
          <w:lang w:val="az-Latn-AZ"/>
        </w:rPr>
        <w:t xml:space="preserve"> birbaşa inzibati səlahiyyəti</w:t>
      </w:r>
      <w:r w:rsidRPr="00D43B7C" w:rsidR="00C11164">
        <w:rPr>
          <w:lang w:val="az-Latn-AZ"/>
        </w:rPr>
        <w:t>n</w:t>
      </w:r>
      <w:r w:rsidRPr="00D43B7C" w:rsidR="00176A92">
        <w:rPr>
          <w:lang w:val="az-Latn-AZ"/>
        </w:rPr>
        <w:t xml:space="preserve"> və </w:t>
      </w:r>
      <w:r w:rsidRPr="00D43B7C" w:rsidR="00C11164">
        <w:rPr>
          <w:lang w:val="az-Latn-AZ"/>
        </w:rPr>
        <w:t>məhdudiyyətin (</w:t>
      </w:r>
      <w:r w:rsidRPr="00D43B7C" w:rsidR="00C11164">
        <w:rPr>
          <w:i/>
          <w:lang w:val="az-Latn-AZ"/>
        </w:rPr>
        <w:t>Ausübung unmittelbarer verwaltungsbehördlicher Befehls- und Zwangsgewalt</w:t>
      </w:r>
      <w:r w:rsidRPr="00D43B7C" w:rsidR="00C11164">
        <w:rPr>
          <w:lang w:val="az-Latn-AZ"/>
        </w:rPr>
        <w:t>)</w:t>
      </w:r>
      <w:r w:rsidRPr="00D43B7C" w:rsidR="00176A92">
        <w:rPr>
          <w:lang w:val="az-Latn-AZ"/>
        </w:rPr>
        <w:t xml:space="preserve"> həyata keçir</w:t>
      </w:r>
      <w:r w:rsidRPr="00D43B7C" w:rsidR="00C11164">
        <w:rPr>
          <w:lang w:val="az-Latn-AZ"/>
        </w:rPr>
        <w:t>il</w:t>
      </w:r>
      <w:r w:rsidRPr="00D43B7C" w:rsidR="00176A92">
        <w:rPr>
          <w:lang w:val="az-Latn-AZ"/>
        </w:rPr>
        <w:t>mə</w:t>
      </w:r>
      <w:r w:rsidRPr="00D43B7C" w:rsidR="00C11164">
        <w:rPr>
          <w:lang w:val="az-Latn-AZ"/>
        </w:rPr>
        <w:t>sin</w:t>
      </w:r>
      <w:r w:rsidRPr="00D43B7C" w:rsidR="00176A92">
        <w:rPr>
          <w:lang w:val="az-Latn-AZ"/>
        </w:rPr>
        <w:t>dən irəli gələn öz hüquqlarının pozu</w:t>
      </w:r>
      <w:r w:rsidRPr="00D43B7C" w:rsidR="00C11164">
        <w:rPr>
          <w:lang w:val="az-Latn-AZ"/>
        </w:rPr>
        <w:t>ntusunu</w:t>
      </w:r>
      <w:r w:rsidRPr="00D43B7C" w:rsidR="00176A92">
        <w:rPr>
          <w:lang w:val="az-Latn-AZ"/>
        </w:rPr>
        <w:t xml:space="preserve"> </w:t>
      </w:r>
      <w:r w:rsidRPr="00D43B7C" w:rsidR="00C11164">
        <w:rPr>
          <w:lang w:val="az-Latn-AZ"/>
        </w:rPr>
        <w:t xml:space="preserve">bildirən </w:t>
      </w:r>
      <w:r w:rsidRPr="00D43B7C" w:rsidR="00176A92">
        <w:rPr>
          <w:lang w:val="az-Latn-AZ"/>
        </w:rPr>
        <w:t>şəxslərin şikayətlərini araşdırmaq səlahiyyəti vardır.</w:t>
      </w:r>
    </w:p>
    <w:p w:rsidRPr="00D43B7C" w:rsidR="00C11164" w:rsidRDefault="000E53AE">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40</w:t>
      </w:r>
      <w:r w:rsidRPr="00D43B7C">
        <w:rPr>
          <w:lang w:val="az-Latn-AZ"/>
        </w:rPr>
        <w:fldChar w:fldCharType="end"/>
      </w:r>
      <w:r w:rsidRPr="00D43B7C">
        <w:rPr>
          <w:lang w:val="az-Latn-AZ"/>
        </w:rPr>
        <w:t>. </w:t>
      </w:r>
      <w:r w:rsidRPr="00D43B7C" w:rsidR="007E4997">
        <w:rPr>
          <w:lang w:val="az-Latn-AZ"/>
        </w:rPr>
        <w:t xml:space="preserve">Məhkəmə </w:t>
      </w:r>
      <w:r w:rsidRPr="00D43B7C" w:rsidR="00FF516C">
        <w:rPr>
          <w:lang w:val="az-Latn-AZ"/>
        </w:rPr>
        <w:t xml:space="preserve">orderini icra edərkən </w:t>
      </w:r>
      <w:r w:rsidRPr="00D43B7C" w:rsidR="007E4997">
        <w:rPr>
          <w:lang w:val="az-Latn-AZ"/>
        </w:rPr>
        <w:t>polis zabitlərinin</w:t>
      </w:r>
      <w:r w:rsidRPr="00D43B7C" w:rsidR="00FF516C">
        <w:rPr>
          <w:lang w:val="az-Latn-AZ"/>
        </w:rPr>
        <w:t xml:space="preserve"> hərəkətləri</w:t>
      </w:r>
      <w:r w:rsidRPr="00D43B7C" w:rsidR="007E4997">
        <w:rPr>
          <w:lang w:val="az-Latn-AZ"/>
        </w:rPr>
        <w:t>,</w:t>
      </w:r>
      <w:r w:rsidRPr="00D43B7C" w:rsidR="00FF516C">
        <w:rPr>
          <w:lang w:val="az-Latn-AZ"/>
        </w:rPr>
        <w:t xml:space="preserve"> </w:t>
      </w:r>
      <w:r w:rsidRPr="00D43B7C" w:rsidR="007174FB">
        <w:rPr>
          <w:lang w:val="az-Latn-AZ"/>
        </w:rPr>
        <w:t>əgər onlar açıq şəkildə öz səlahiyyətlərini aşmırsa</w:t>
      </w:r>
      <w:r w:rsidRPr="00D43B7C" w:rsidR="007E4997">
        <w:rPr>
          <w:lang w:val="az-Latn-AZ"/>
        </w:rPr>
        <w:t>,</w:t>
      </w:r>
      <w:r w:rsidRPr="00D43B7C" w:rsidR="007174FB">
        <w:rPr>
          <w:lang w:val="az-Latn-AZ"/>
        </w:rPr>
        <w:t xml:space="preserve"> məhkəməyə aiddir. </w:t>
      </w:r>
      <w:r w:rsidRPr="00D43B7C" w:rsidR="00C05E00">
        <w:rPr>
          <w:lang w:val="az-Latn-AZ"/>
        </w:rPr>
        <w:t xml:space="preserve">Yalnız sonuncu halda onların hərəkətləri birbaşa inzibati səlahiyyət və məhdudiyyətin həyata keçirilməsi olur və Müstəqil İnzibati Palata </w:t>
      </w:r>
      <w:r w:rsidR="00C82EFE">
        <w:rPr>
          <w:lang w:val="az-Latn-AZ"/>
        </w:rPr>
        <w:t>tərəfindən yenidən baxıla bilər</w:t>
      </w:r>
      <w:r w:rsidRPr="00D43B7C" w:rsidR="00C05E00">
        <w:rPr>
          <w:lang w:val="az-Latn-AZ"/>
        </w:rPr>
        <w:t>.</w:t>
      </w:r>
    </w:p>
    <w:p w:rsidRPr="00D43B7C" w:rsidR="00260DD7" w:rsidP="00924A59" w:rsidRDefault="00C05E00">
      <w:pPr>
        <w:pStyle w:val="JuHHead"/>
        <w:outlineLvl w:val="0"/>
        <w:rPr>
          <w:lang w:val="az-Latn-AZ"/>
        </w:rPr>
      </w:pPr>
      <w:r w:rsidRPr="00D43B7C">
        <w:rPr>
          <w:lang w:val="az-Latn-AZ"/>
        </w:rPr>
        <w:t>HÜQUQ</w:t>
      </w:r>
      <w:r w:rsidR="00B50E9D">
        <w:rPr>
          <w:lang w:val="az-Latn-AZ"/>
        </w:rPr>
        <w:t>İ MƏSƏLƏLƏR</w:t>
      </w:r>
    </w:p>
    <w:p w:rsidRPr="00D43B7C" w:rsidR="000911D8" w:rsidP="00924A59" w:rsidRDefault="000911D8">
      <w:pPr>
        <w:pStyle w:val="JuHIRoman"/>
        <w:outlineLvl w:val="0"/>
        <w:rPr>
          <w:lang w:val="az-Latn-AZ"/>
        </w:rPr>
      </w:pPr>
      <w:r w:rsidRPr="00D43B7C">
        <w:rPr>
          <w:lang w:val="az-Latn-AZ"/>
        </w:rPr>
        <w:t>I. </w:t>
      </w:r>
      <w:r w:rsidRPr="00D43B7C" w:rsidR="00C05E00">
        <w:rPr>
          <w:lang w:val="az-Latn-AZ"/>
        </w:rPr>
        <w:t>KONVENSİYANIN 8-Cİ MADDƏSİNİN İDDİA EDİLƏN POZUNTUSU</w:t>
      </w:r>
    </w:p>
    <w:p w:rsidRPr="00D43B7C" w:rsidR="00C05E00" w:rsidRDefault="006B2A91">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41</w:t>
      </w:r>
      <w:r w:rsidRPr="00D43B7C">
        <w:rPr>
          <w:lang w:val="az-Latn-AZ"/>
        </w:rPr>
        <w:fldChar w:fldCharType="end"/>
      </w:r>
      <w:r w:rsidRPr="00D43B7C">
        <w:rPr>
          <w:lang w:val="az-Latn-AZ"/>
        </w:rPr>
        <w:t>. </w:t>
      </w:r>
      <w:r w:rsidRPr="00D43B7C" w:rsidR="00C05E00">
        <w:rPr>
          <w:lang w:val="az-Latn-AZ"/>
        </w:rPr>
        <w:t>Ərizəçilər</w:t>
      </w:r>
      <w:r w:rsidRPr="00D43B7C">
        <w:rPr>
          <w:lang w:val="az-Latn-AZ"/>
        </w:rPr>
        <w:t> </w:t>
      </w:r>
      <w:r w:rsidRPr="00D43B7C" w:rsidR="00C05E00">
        <w:rPr>
          <w:lang w:val="az-Latn-AZ"/>
        </w:rPr>
        <w:t>elektron məlumatın axtarışı və müsadirəsindən şikayət edirdi. Onlar Konvensiyanın aşağıdakı 8-ci maddəsinə istinad edirdilər:</w:t>
      </w:r>
    </w:p>
    <w:p w:rsidRPr="00D43B7C" w:rsidR="000911D8" w:rsidRDefault="000911D8">
      <w:pPr>
        <w:pStyle w:val="JuPara"/>
        <w:rPr>
          <w:lang w:val="az-Latn-AZ"/>
        </w:rPr>
      </w:pPr>
    </w:p>
    <w:p w:rsidRPr="00D43B7C" w:rsidR="00D43B7C" w:rsidP="00D43B7C" w:rsidRDefault="006B2A91">
      <w:pPr>
        <w:jc w:val="both"/>
        <w:rPr>
          <w:rFonts w:eastAsia="TimesNewRomanPSMT"/>
          <w:sz w:val="20"/>
          <w:lang w:val="az-Latn-AZ"/>
        </w:rPr>
      </w:pPr>
      <w:r w:rsidRPr="00D43B7C">
        <w:rPr>
          <w:sz w:val="20"/>
          <w:lang w:val="az-Latn-AZ"/>
        </w:rPr>
        <w:t>“</w:t>
      </w:r>
      <w:r w:rsidRPr="00D43B7C" w:rsidR="00D43B7C">
        <w:rPr>
          <w:rFonts w:eastAsia="TimesNewRomanPSMT"/>
          <w:sz w:val="20"/>
          <w:lang w:val="az-Latn-AZ"/>
        </w:rPr>
        <w:t>1. Hər kəs öz şəxsi və ailə həyatına, mənzilinə və yazışma sirrinə hörmət hüququna malikdir.</w:t>
      </w:r>
    </w:p>
    <w:p w:rsidRPr="00D43B7C" w:rsidR="006B2A91" w:rsidP="00D43B7C" w:rsidRDefault="00D43B7C">
      <w:pPr>
        <w:jc w:val="both"/>
        <w:rPr>
          <w:sz w:val="20"/>
          <w:lang w:val="az-Latn-AZ"/>
        </w:rPr>
      </w:pPr>
      <w:r w:rsidRPr="00D43B7C">
        <w:rPr>
          <w:rFonts w:eastAsia="TimesNewRomanPSMT"/>
          <w:sz w:val="20"/>
          <w:lang w:val="az-Latn-AZ"/>
        </w:rPr>
        <w:t>2. Milli təhlükəsizlik və ictimai asayiş, ölkənin iqtisadi rifah maraqları naminə, iğtişaşın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hakimiyyət orqanları tərəfindən müdaxiləyə yol verilmir.</w:t>
      </w:r>
      <w:r w:rsidRPr="00D43B7C" w:rsidR="006B2A91">
        <w:rPr>
          <w:sz w:val="20"/>
          <w:lang w:val="az-Latn-AZ"/>
        </w:rPr>
        <w:t>”</w:t>
      </w:r>
    </w:p>
    <w:p w:rsidRPr="00D43B7C" w:rsidR="000911D8" w:rsidP="00924A59" w:rsidRDefault="006B2A91">
      <w:pPr>
        <w:pStyle w:val="JuHA"/>
        <w:outlineLvl w:val="0"/>
        <w:rPr>
          <w:lang w:val="az-Latn-AZ"/>
        </w:rPr>
      </w:pPr>
      <w:r w:rsidRPr="00D43B7C">
        <w:rPr>
          <w:lang w:val="az-Latn-AZ"/>
        </w:rPr>
        <w:t>A. </w:t>
      </w:r>
      <w:r w:rsidRPr="00D43B7C" w:rsidR="00C05E00">
        <w:rPr>
          <w:lang w:val="az-Latn-AZ"/>
        </w:rPr>
        <w:t>8-ci maddənin tətbiqi ilə əlaqədar</w:t>
      </w:r>
    </w:p>
    <w:p w:rsidR="00A77C80"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42</w:t>
      </w:r>
      <w:r w:rsidRPr="00D43B7C">
        <w:rPr>
          <w:lang w:val="az-Latn-AZ"/>
        </w:rPr>
        <w:fldChar w:fldCharType="end"/>
      </w:r>
      <w:r w:rsidRPr="00D43B7C">
        <w:rPr>
          <w:lang w:val="az-Latn-AZ"/>
        </w:rPr>
        <w:t>. </w:t>
      </w:r>
      <w:r w:rsidRPr="00D43B7C" w:rsidR="00C05E00">
        <w:rPr>
          <w:lang w:val="az-Latn-AZ"/>
        </w:rPr>
        <w:t>Hökumət öz qeydlərini sözügedən axtarış və müsadirənin ərizəçilərin “şəxsi həyat” və “</w:t>
      </w:r>
      <w:r w:rsidRPr="00D43B7C" w:rsidR="00AB28EE">
        <w:rPr>
          <w:lang w:val="az-Latn-AZ"/>
        </w:rPr>
        <w:t>mənzili</w:t>
      </w:r>
      <w:r w:rsidRPr="00D43B7C" w:rsidR="00C05E00">
        <w:rPr>
          <w:lang w:val="az-Latn-AZ"/>
        </w:rPr>
        <w:t>”nə müdaxilə</w:t>
      </w:r>
      <w:r w:rsidRPr="00D43B7C" w:rsidR="00636483">
        <w:rPr>
          <w:lang w:val="az-Latn-AZ"/>
        </w:rPr>
        <w:t>si</w:t>
      </w:r>
      <w:r w:rsidRPr="00D43B7C" w:rsidR="00C05E00">
        <w:rPr>
          <w:lang w:val="az-Latn-AZ"/>
        </w:rPr>
        <w:t xml:space="preserve"> kimi ehtimal üzərində qurmuşdur.</w:t>
      </w:r>
    </w:p>
    <w:p w:rsidRPr="00D43B7C" w:rsidR="00033928" w:rsidP="001D6737" w:rsidRDefault="000911D8">
      <w:pPr>
        <w:jc w:val="both"/>
        <w:rPr>
          <w:highlight w:val="yellow"/>
          <w:lang w:val="az-Latn-AZ" w:eastAsia="en-US"/>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43</w:t>
      </w:r>
      <w:r w:rsidRPr="00D43B7C">
        <w:rPr>
          <w:lang w:val="az-Latn-AZ"/>
        </w:rPr>
        <w:fldChar w:fldCharType="end"/>
      </w:r>
      <w:r w:rsidRPr="00D43B7C">
        <w:rPr>
          <w:lang w:val="az-Latn-AZ"/>
        </w:rPr>
        <w:t>. </w:t>
      </w:r>
      <w:r w:rsidRPr="00D43B7C" w:rsidR="001D6737">
        <w:rPr>
          <w:lang w:val="az-Latn-AZ"/>
        </w:rPr>
        <w:t xml:space="preserve">Məhkəmə xatırladır ki, vəkilin ofisində axtarış “şəxsi həyat” və “yazışma”, eyni zamanda, potensial olaraq, fransız mətnində istifadə olunan “domicile” termininin geniş mənasında mənzilə müdaxilə hesab edilmişdir </w:t>
      </w:r>
      <w:r w:rsidRPr="00D43B7C" w:rsidR="00033928">
        <w:rPr>
          <w:lang w:val="az-Latn-AZ"/>
        </w:rPr>
        <w:t>(</w:t>
      </w:r>
      <w:r w:rsidRPr="00D43B7C" w:rsidR="002B4F93">
        <w:rPr>
          <w:lang w:val="az-Latn-AZ"/>
        </w:rPr>
        <w:t xml:space="preserve">bax: Nimec Almaniyaya qarşı işi </w:t>
      </w:r>
      <w:r w:rsidRPr="00D43B7C" w:rsidR="002B4F93">
        <w:rPr>
          <w:i/>
          <w:lang w:val="az-Latn-AZ"/>
        </w:rPr>
        <w:t>(</w:t>
      </w:r>
      <w:r w:rsidRPr="00D43B7C" w:rsidR="00033928">
        <w:rPr>
          <w:i/>
          <w:lang w:val="az-Latn-AZ" w:eastAsia="en-US"/>
        </w:rPr>
        <w:t>Niemietz v. Germany</w:t>
      </w:r>
      <w:r w:rsidRPr="00D43B7C" w:rsidR="002B4F93">
        <w:rPr>
          <w:i/>
          <w:lang w:val="az-Latn-AZ" w:eastAsia="en-US"/>
        </w:rPr>
        <w:t>)</w:t>
      </w:r>
      <w:r w:rsidRPr="00D43B7C" w:rsidR="00033928">
        <w:rPr>
          <w:lang w:val="az-Latn-AZ" w:eastAsia="en-US"/>
        </w:rPr>
        <w:t xml:space="preserve">, 16 </w:t>
      </w:r>
      <w:r w:rsidRPr="00D43B7C" w:rsidR="002B4F93">
        <w:rPr>
          <w:lang w:val="az-Latn-AZ" w:eastAsia="en-US"/>
        </w:rPr>
        <w:t>dekabr</w:t>
      </w:r>
      <w:r w:rsidRPr="00D43B7C" w:rsidR="00033928">
        <w:rPr>
          <w:lang w:val="az-Latn-AZ" w:eastAsia="en-US"/>
        </w:rPr>
        <w:t xml:space="preserve"> 1992</w:t>
      </w:r>
      <w:r w:rsidRPr="00D43B7C" w:rsidR="002B4F93">
        <w:rPr>
          <w:lang w:val="az-Latn-AZ" w:eastAsia="en-US"/>
        </w:rPr>
        <w:t>-ci il</w:t>
      </w:r>
      <w:r w:rsidRPr="00D43B7C" w:rsidR="00F115CB">
        <w:rPr>
          <w:lang w:val="az-Latn-AZ" w:eastAsia="en-US"/>
        </w:rPr>
        <w:t>, §§ 29</w:t>
      </w:r>
      <w:r w:rsidRPr="00D43B7C" w:rsidR="00F115CB">
        <w:rPr>
          <w:lang w:val="az-Latn-AZ" w:eastAsia="en-US"/>
        </w:rPr>
        <w:noBreakHyphen/>
        <w:t>33</w:t>
      </w:r>
      <w:r w:rsidRPr="00D43B7C" w:rsidR="00033928">
        <w:rPr>
          <w:lang w:val="az-Latn-AZ" w:eastAsia="en-US"/>
        </w:rPr>
        <w:t xml:space="preserve">, A </w:t>
      </w:r>
      <w:r w:rsidR="00B50B9F">
        <w:rPr>
          <w:lang w:val="az-Latn-AZ" w:eastAsia="en-US"/>
        </w:rPr>
        <w:t xml:space="preserve">Seriyası </w:t>
      </w:r>
      <w:r w:rsidRPr="00D43B7C" w:rsidR="00033928">
        <w:rPr>
          <w:lang w:val="az-Latn-AZ" w:eastAsia="en-US"/>
        </w:rPr>
        <w:t>no 251</w:t>
      </w:r>
      <w:r w:rsidRPr="00D43B7C" w:rsidR="00033928">
        <w:rPr>
          <w:lang w:val="az-Latn-AZ" w:eastAsia="en-US"/>
        </w:rPr>
        <w:noBreakHyphen/>
        <w:t>B</w:t>
      </w:r>
      <w:r w:rsidRPr="00D43B7C" w:rsidR="00981DF2">
        <w:rPr>
          <w:lang w:val="az-Latn-AZ" w:eastAsia="en-US"/>
        </w:rPr>
        <w:t>,</w:t>
      </w:r>
      <w:r w:rsidRPr="00D43B7C" w:rsidR="00790CDB">
        <w:rPr>
          <w:lang w:val="az-Latn-AZ" w:eastAsia="en-US"/>
        </w:rPr>
        <w:t xml:space="preserve"> </w:t>
      </w:r>
      <w:r w:rsidRPr="00D43B7C" w:rsidR="002B4F93">
        <w:rPr>
          <w:lang w:val="az-Latn-AZ" w:eastAsia="en-US"/>
        </w:rPr>
        <w:t xml:space="preserve">və Tamosius Böyük Britaniyaya qarşı işi </w:t>
      </w:r>
      <w:r w:rsidRPr="00D43B7C" w:rsidR="002B4F93">
        <w:rPr>
          <w:i/>
          <w:lang w:val="az-Latn-AZ" w:eastAsia="en-US"/>
        </w:rPr>
        <w:t>(</w:t>
      </w:r>
      <w:r w:rsidRPr="00D43B7C" w:rsidR="00033928">
        <w:rPr>
          <w:i/>
          <w:lang w:val="az-Latn-AZ" w:eastAsia="en-US"/>
        </w:rPr>
        <w:t>Tamosius v. the United Kingdom</w:t>
      </w:r>
      <w:r w:rsidRPr="00D43B7C" w:rsidR="002B4F93">
        <w:rPr>
          <w:i/>
          <w:lang w:val="az-Latn-AZ" w:eastAsia="en-US"/>
        </w:rPr>
        <w:t>)</w:t>
      </w:r>
      <w:r w:rsidRPr="00D43B7C" w:rsidR="00033928">
        <w:rPr>
          <w:lang w:val="az-Latn-AZ" w:eastAsia="en-US"/>
        </w:rPr>
        <w:t xml:space="preserve"> (</w:t>
      </w:r>
      <w:r w:rsidRPr="00D43B7C" w:rsidR="002B4F93">
        <w:rPr>
          <w:lang w:val="az-Latn-AZ" w:eastAsia="en-US"/>
        </w:rPr>
        <w:t>qərardad</w:t>
      </w:r>
      <w:r w:rsidR="00B50B9F">
        <w:rPr>
          <w:lang w:val="az-Latn-AZ" w:eastAsia="en-US"/>
        </w:rPr>
        <w:t>), no</w:t>
      </w:r>
      <w:r w:rsidRPr="00D43B7C" w:rsidR="00033928">
        <w:rPr>
          <w:lang w:val="az-Latn-AZ" w:eastAsia="en-US"/>
        </w:rPr>
        <w:t xml:space="preserve"> 62002/00, ECHR 2002</w:t>
      </w:r>
      <w:r w:rsidRPr="00D43B7C" w:rsidR="00033928">
        <w:rPr>
          <w:lang w:val="az-Latn-AZ" w:eastAsia="en-US"/>
        </w:rPr>
        <w:noBreakHyphen/>
        <w:t>VIII</w:t>
      </w:r>
      <w:r w:rsidRPr="00D43B7C" w:rsidR="00D84558">
        <w:rPr>
          <w:lang w:val="az-Latn-AZ" w:eastAsia="en-US"/>
        </w:rPr>
        <w:t xml:space="preserve">; </w:t>
      </w:r>
      <w:r w:rsidRPr="00D43B7C" w:rsidR="002B4F93">
        <w:rPr>
          <w:lang w:val="az-Latn-AZ" w:eastAsia="en-US"/>
        </w:rPr>
        <w:t>bax: həmçinin vəkilin ofisində axtar</w:t>
      </w:r>
      <w:r w:rsidRPr="00D43B7C" w:rsidR="001D6737">
        <w:rPr>
          <w:lang w:val="az-Latn-AZ" w:eastAsia="en-US"/>
        </w:rPr>
        <w:t>ı</w:t>
      </w:r>
      <w:r w:rsidRPr="00D43B7C" w:rsidR="002B4F93">
        <w:rPr>
          <w:lang w:val="az-Latn-AZ" w:eastAsia="en-US"/>
        </w:rPr>
        <w:t>şın onun “</w:t>
      </w:r>
      <w:r w:rsidRPr="00D43B7C" w:rsidR="00AB28EE">
        <w:rPr>
          <w:lang w:val="az-Latn-AZ" w:eastAsia="en-US"/>
        </w:rPr>
        <w:t>mənzilinə</w:t>
      </w:r>
      <w:r w:rsidRPr="00D43B7C" w:rsidR="002B4F93">
        <w:rPr>
          <w:lang w:val="az-Latn-AZ" w:eastAsia="en-US"/>
        </w:rPr>
        <w:t>” hörmət etmək hüququna müdaxilə olmasını təsdiq edən Sallinen və digərləri Finlandiyaya qarşı işi</w:t>
      </w:r>
      <w:r w:rsidRPr="00D43B7C" w:rsidR="00D84558">
        <w:rPr>
          <w:lang w:val="az-Latn-AZ" w:eastAsia="en-US"/>
        </w:rPr>
        <w:t xml:space="preserve"> </w:t>
      </w:r>
      <w:r w:rsidRPr="00D43B7C" w:rsidR="002B4F93">
        <w:rPr>
          <w:i/>
          <w:lang w:val="az-Latn-AZ" w:eastAsia="en-US"/>
        </w:rPr>
        <w:t>(</w:t>
      </w:r>
      <w:r w:rsidRPr="00D43B7C" w:rsidR="003B083D">
        <w:rPr>
          <w:i/>
          <w:lang w:val="az-Latn-AZ"/>
        </w:rPr>
        <w:t>Sallinen and Others v. Fi</w:t>
      </w:r>
      <w:r w:rsidRPr="00D43B7C" w:rsidR="00D84558">
        <w:rPr>
          <w:i/>
          <w:lang w:val="az-Latn-AZ"/>
        </w:rPr>
        <w:t>nland</w:t>
      </w:r>
      <w:r w:rsidRPr="00D43B7C" w:rsidR="002B4F93">
        <w:rPr>
          <w:i/>
          <w:lang w:val="az-Latn-AZ"/>
        </w:rPr>
        <w:t>)</w:t>
      </w:r>
      <w:r w:rsidR="00BF78AD">
        <w:rPr>
          <w:lang w:val="az-Latn-AZ"/>
        </w:rPr>
        <w:t>, no</w:t>
      </w:r>
      <w:r w:rsidRPr="00D43B7C" w:rsidR="00981DF2">
        <w:rPr>
          <w:lang w:val="az-Latn-AZ"/>
        </w:rPr>
        <w:t xml:space="preserve"> </w:t>
      </w:r>
      <w:r w:rsidRPr="00D43B7C" w:rsidR="00D84558">
        <w:rPr>
          <w:lang w:val="az-Latn-AZ"/>
        </w:rPr>
        <w:t xml:space="preserve">50882/99, § 71, 27 </w:t>
      </w:r>
      <w:r w:rsidRPr="00D43B7C" w:rsidR="002B4F93">
        <w:rPr>
          <w:lang w:val="az-Latn-AZ"/>
        </w:rPr>
        <w:t xml:space="preserve">sentyabr </w:t>
      </w:r>
      <w:r w:rsidRPr="00D43B7C" w:rsidR="00D84558">
        <w:rPr>
          <w:lang w:val="az-Latn-AZ"/>
        </w:rPr>
        <w:t>2005</w:t>
      </w:r>
      <w:r w:rsidRPr="00D43B7C" w:rsidR="002B4F93">
        <w:rPr>
          <w:lang w:val="az-Latn-AZ"/>
        </w:rPr>
        <w:t>-ci il</w:t>
      </w:r>
      <w:r w:rsidRPr="00D43B7C" w:rsidR="00033928">
        <w:rPr>
          <w:lang w:val="az-Latn-AZ" w:eastAsia="en-US"/>
        </w:rPr>
        <w:t xml:space="preserve">). </w:t>
      </w:r>
      <w:r w:rsidRPr="00D43B7C" w:rsidR="002F6F86">
        <w:rPr>
          <w:lang w:val="az-Latn-AZ" w:eastAsia="en-US"/>
        </w:rPr>
        <w:t>Şirkətin iş</w:t>
      </w:r>
      <w:r w:rsidRPr="00D43B7C" w:rsidR="00903B55">
        <w:rPr>
          <w:lang w:val="az-Latn-AZ" w:eastAsia="en-US"/>
        </w:rPr>
        <w:t xml:space="preserve"> yerində</w:t>
      </w:r>
      <w:r w:rsidRPr="00D43B7C" w:rsidR="002F6F86">
        <w:rPr>
          <w:lang w:val="az-Latn-AZ" w:eastAsia="en-US"/>
        </w:rPr>
        <w:t xml:space="preserve"> aparılan axtarış</w:t>
      </w:r>
      <w:r w:rsidRPr="00D43B7C" w:rsidR="00903B55">
        <w:rPr>
          <w:lang w:val="az-Latn-AZ" w:eastAsia="en-US"/>
        </w:rPr>
        <w:t>ın</w:t>
      </w:r>
      <w:r w:rsidRPr="00D43B7C" w:rsidR="00AB28EE">
        <w:rPr>
          <w:lang w:val="az-Latn-AZ" w:eastAsia="en-US"/>
        </w:rPr>
        <w:t xml:space="preserve"> eyni zamanda onun “mənzilinə</w:t>
      </w:r>
      <w:r w:rsidRPr="00D43B7C" w:rsidR="002F6F86">
        <w:rPr>
          <w:lang w:val="az-Latn-AZ" w:eastAsia="en-US"/>
        </w:rPr>
        <w:t xml:space="preserve">” hörmət hüququna </w:t>
      </w:r>
      <w:r w:rsidRPr="00D43B7C" w:rsidR="00903B55">
        <w:rPr>
          <w:lang w:val="az-Latn-AZ" w:eastAsia="en-US"/>
        </w:rPr>
        <w:t xml:space="preserve">müdaxilə etməsi kimi müəyyən edilib </w:t>
      </w:r>
      <w:r w:rsidRPr="00D43B7C" w:rsidR="00033928">
        <w:rPr>
          <w:lang w:val="az-Latn-AZ"/>
        </w:rPr>
        <w:t>(</w:t>
      </w:r>
      <w:r w:rsidRPr="00D43B7C" w:rsidR="00903B55">
        <w:rPr>
          <w:lang w:val="az-Latn-AZ"/>
        </w:rPr>
        <w:t xml:space="preserve">bax: Sosiete Kolas Est və digərləri Fransaya qarşı işi </w:t>
      </w:r>
      <w:r w:rsidRPr="00D43B7C" w:rsidR="00903B55">
        <w:rPr>
          <w:i/>
          <w:lang w:val="az-Latn-AZ"/>
        </w:rPr>
        <w:t>(</w:t>
      </w:r>
      <w:r w:rsidRPr="00D43B7C" w:rsidR="00033928">
        <w:rPr>
          <w:i/>
          <w:lang w:val="az-Latn-AZ"/>
        </w:rPr>
        <w:t>S</w:t>
      </w:r>
      <w:r w:rsidRPr="00D43B7C" w:rsidR="00790CDB">
        <w:rPr>
          <w:i/>
          <w:lang w:val="az-Latn-AZ"/>
        </w:rPr>
        <w:t>ociété</w:t>
      </w:r>
      <w:r w:rsidRPr="00D43B7C" w:rsidR="00033928">
        <w:rPr>
          <w:i/>
          <w:lang w:val="az-Latn-AZ"/>
        </w:rPr>
        <w:t xml:space="preserve"> Colas Est and Others v. France</w:t>
      </w:r>
      <w:r w:rsidRPr="00D43B7C" w:rsidR="00903B55">
        <w:rPr>
          <w:i/>
          <w:lang w:val="az-Latn-AZ"/>
        </w:rPr>
        <w:t>)</w:t>
      </w:r>
      <w:r w:rsidR="00BF78AD">
        <w:rPr>
          <w:lang w:val="az-Latn-AZ"/>
        </w:rPr>
        <w:t>, no</w:t>
      </w:r>
      <w:r w:rsidRPr="00D43B7C" w:rsidR="00033928">
        <w:rPr>
          <w:lang w:val="az-Latn-AZ"/>
        </w:rPr>
        <w:t xml:space="preserve"> 37971/97</w:t>
      </w:r>
      <w:r w:rsidRPr="00D43B7C" w:rsidR="003B083D">
        <w:rPr>
          <w:lang w:val="az-Latn-AZ"/>
        </w:rPr>
        <w:t>, §§ 40-42</w:t>
      </w:r>
      <w:r w:rsidRPr="00D43B7C" w:rsidR="00033928">
        <w:rPr>
          <w:lang w:val="az-Latn-AZ"/>
        </w:rPr>
        <w:t>, ECHR 2002-III).</w:t>
      </w:r>
    </w:p>
    <w:p w:rsidR="00A77C80" w:rsidP="00033928" w:rsidRDefault="0003392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44</w:t>
      </w:r>
      <w:r w:rsidRPr="00D43B7C">
        <w:rPr>
          <w:lang w:val="az-Latn-AZ"/>
        </w:rPr>
        <w:fldChar w:fldCharType="end"/>
      </w:r>
      <w:r w:rsidRPr="00D43B7C">
        <w:rPr>
          <w:lang w:val="az-Latn-AZ"/>
        </w:rPr>
        <w:t>. </w:t>
      </w:r>
      <w:r w:rsidRPr="00D43B7C" w:rsidR="000852BE">
        <w:rPr>
          <w:lang w:val="az-Latn-AZ"/>
        </w:rPr>
        <w:t xml:space="preserve">Hazırkı işdə ərizəçilər nə onların iş yerləri olan birinci ərizəçinin vəkil ofisi və ərizəçi şirkətin baş ofisində aparılan axtarışdan, nə də ki sənədlərin müsadirəsindən şikayət etmirlər. </w:t>
      </w:r>
      <w:r w:rsidRPr="00D43B7C" w:rsidR="00113FC8">
        <w:rPr>
          <w:lang w:val="az-Latn-AZ"/>
        </w:rPr>
        <w:t>Onlar yalnız elektron məlumat</w:t>
      </w:r>
      <w:r w:rsidRPr="00D43B7C" w:rsidR="00636483">
        <w:rPr>
          <w:lang w:val="az-Latn-AZ"/>
        </w:rPr>
        <w:t>lar</w:t>
      </w:r>
      <w:r w:rsidRPr="00D43B7C" w:rsidR="00113FC8">
        <w:rPr>
          <w:lang w:val="az-Latn-AZ"/>
        </w:rPr>
        <w:t>ın axtarışı və müsadirəsindən şikayət edirdi.</w:t>
      </w:r>
    </w:p>
    <w:p w:rsidR="00A77C80" w:rsidP="00033928" w:rsidRDefault="0003392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45</w:t>
      </w:r>
      <w:r w:rsidRPr="00D43B7C">
        <w:rPr>
          <w:lang w:val="az-Latn-AZ"/>
        </w:rPr>
        <w:fldChar w:fldCharType="end"/>
      </w:r>
      <w:r w:rsidRPr="00D43B7C">
        <w:rPr>
          <w:lang w:val="az-Latn-AZ"/>
        </w:rPr>
        <w:t>. </w:t>
      </w:r>
      <w:r w:rsidRPr="00D43B7C" w:rsidR="00631643">
        <w:rPr>
          <w:lang w:val="az-Latn-AZ"/>
        </w:rPr>
        <w:t>Məhkəmə axtarışın və elektron məlumat</w:t>
      </w:r>
      <w:r w:rsidRPr="00D43B7C" w:rsidR="00636483">
        <w:rPr>
          <w:lang w:val="az-Latn-AZ"/>
        </w:rPr>
        <w:t>lar</w:t>
      </w:r>
      <w:r w:rsidRPr="00D43B7C" w:rsidR="00631643">
        <w:rPr>
          <w:lang w:val="az-Latn-AZ"/>
        </w:rPr>
        <w:t>ın müsadirəsinin ərizəçilərin 8-ci maddənin mənasına uyğun olaraq</w:t>
      </w:r>
      <w:r w:rsidRPr="00D43B7C" w:rsidR="00636483">
        <w:rPr>
          <w:lang w:val="az-Latn-AZ"/>
        </w:rPr>
        <w:t>,</w:t>
      </w:r>
      <w:r w:rsidRPr="00D43B7C" w:rsidR="00631643">
        <w:rPr>
          <w:lang w:val="az-Latn-AZ"/>
        </w:rPr>
        <w:t xml:space="preserve"> öz “</w:t>
      </w:r>
      <w:r w:rsidRPr="00D43B7C" w:rsidR="00AB28EE">
        <w:rPr>
          <w:lang w:val="az-Latn-AZ"/>
        </w:rPr>
        <w:t>yazışma</w:t>
      </w:r>
      <w:r w:rsidRPr="00D43B7C" w:rsidR="00631643">
        <w:rPr>
          <w:lang w:val="az-Latn-AZ"/>
        </w:rPr>
        <w:t xml:space="preserve">” hüququna müdaxilə olduğunu hesab edir </w:t>
      </w:r>
      <w:r w:rsidRPr="00D43B7C">
        <w:rPr>
          <w:lang w:val="az-Latn-AZ"/>
        </w:rPr>
        <w:t>(</w:t>
      </w:r>
      <w:r w:rsidRPr="00D43B7C" w:rsidR="00631643">
        <w:rPr>
          <w:lang w:val="az-Latn-AZ"/>
        </w:rPr>
        <w:t>bax: yuxarıda qeyd edilən Nimec işi</w:t>
      </w:r>
      <w:r w:rsidRPr="00D43B7C">
        <w:rPr>
          <w:lang w:val="az-Latn-AZ"/>
        </w:rPr>
        <w:t>, § 32</w:t>
      </w:r>
      <w:r w:rsidRPr="00D43B7C" w:rsidR="003B083D">
        <w:rPr>
          <w:lang w:val="az-Latn-AZ"/>
        </w:rPr>
        <w:t>,</w:t>
      </w:r>
      <w:r w:rsidRPr="00D43B7C">
        <w:rPr>
          <w:lang w:val="az-Latn-AZ"/>
        </w:rPr>
        <w:t xml:space="preserve"> </w:t>
      </w:r>
      <w:r w:rsidRPr="00D43B7C" w:rsidR="00631643">
        <w:rPr>
          <w:lang w:val="az-Latn-AZ"/>
        </w:rPr>
        <w:t>vəkilin işgüzar yazışması</w:t>
      </w:r>
      <w:r w:rsidRPr="00D43B7C" w:rsidR="0047509D">
        <w:rPr>
          <w:lang w:val="az-Latn-AZ"/>
        </w:rPr>
        <w:t xml:space="preserve"> məsələsində</w:t>
      </w:r>
      <w:r w:rsidRPr="00D43B7C" w:rsidR="00631643">
        <w:rPr>
          <w:lang w:val="az-Latn-AZ"/>
        </w:rPr>
        <w:t xml:space="preserve"> və yuxarıda qeyd edilən Sallinen və digərləri işi</w:t>
      </w:r>
      <w:r w:rsidRPr="00D43B7C" w:rsidR="00860026">
        <w:rPr>
          <w:lang w:val="az-Latn-AZ"/>
        </w:rPr>
        <w:t>, § 71,</w:t>
      </w:r>
      <w:r w:rsidRPr="00D43B7C" w:rsidR="00631643">
        <w:rPr>
          <w:lang w:val="az-Latn-AZ"/>
        </w:rPr>
        <w:t xml:space="preserve"> </w:t>
      </w:r>
      <w:r w:rsidRPr="00D43B7C" w:rsidR="0047509D">
        <w:rPr>
          <w:lang w:val="az-Latn-AZ"/>
        </w:rPr>
        <w:t>vəkilin kompyüter disklərinin müsadirəsi məsələsində</w:t>
      </w:r>
      <w:r w:rsidRPr="00D43B7C" w:rsidR="00AD27ED">
        <w:rPr>
          <w:lang w:val="az-Latn-AZ"/>
        </w:rPr>
        <w:t xml:space="preserve">). </w:t>
      </w:r>
      <w:r w:rsidRPr="00D43B7C" w:rsidR="0047509D">
        <w:rPr>
          <w:lang w:val="az-Latn-AZ"/>
        </w:rPr>
        <w:t>“</w:t>
      </w:r>
      <w:r w:rsidRPr="00D43B7C" w:rsidR="00AB28EE">
        <w:rPr>
          <w:lang w:val="az-Latn-AZ"/>
        </w:rPr>
        <w:t>Mənzil</w:t>
      </w:r>
      <w:r w:rsidRPr="00D43B7C" w:rsidR="0047509D">
        <w:rPr>
          <w:lang w:val="az-Latn-AZ"/>
        </w:rPr>
        <w:t>” ifadəsinin şirkətin iş yerinə də şamil edildiyi yuxarıda qeyd edilən presedent hüququna əsaslanaraq, Məhkəmə fiziki şəxs olan birinci ərizəçi ilə hüquqi şəxs olan ikinci ərizəçi arasında “</w:t>
      </w:r>
      <w:r w:rsidRPr="00D43B7C" w:rsidR="00AB28EE">
        <w:rPr>
          <w:lang w:val="az-Latn-AZ"/>
        </w:rPr>
        <w:t>yazışma</w:t>
      </w:r>
      <w:r w:rsidRPr="00D43B7C" w:rsidR="0047509D">
        <w:rPr>
          <w:lang w:val="az-Latn-AZ"/>
        </w:rPr>
        <w:t>” ifadəsi baxımından hər hansı bir fərq q</w:t>
      </w:r>
      <w:r w:rsidRPr="00D43B7C" w:rsidR="0028158A">
        <w:rPr>
          <w:lang w:val="az-Latn-AZ"/>
        </w:rPr>
        <w:t>o</w:t>
      </w:r>
      <w:r w:rsidRPr="00D43B7C" w:rsidR="0047509D">
        <w:rPr>
          <w:lang w:val="az-Latn-AZ"/>
        </w:rPr>
        <w:t>yma</w:t>
      </w:r>
      <w:r w:rsidRPr="00D43B7C" w:rsidR="00636483">
        <w:rPr>
          <w:lang w:val="az-Latn-AZ"/>
        </w:rPr>
        <w:t>ğ</w:t>
      </w:r>
      <w:r w:rsidRPr="00D43B7C" w:rsidR="0047509D">
        <w:rPr>
          <w:lang w:val="az-Latn-AZ"/>
        </w:rPr>
        <w:t xml:space="preserve">a əsas görmür. </w:t>
      </w:r>
      <w:r w:rsidRPr="00D43B7C" w:rsidR="00A33D3D">
        <w:rPr>
          <w:lang w:val="az-Latn-AZ"/>
        </w:rPr>
        <w:t>Məhkəmə ərizəçilərin “şəxsi həyat”larına müdaxilənin olub-olmamasını araşdırmağı da zəruri hesab etmir.</w:t>
      </w:r>
    </w:p>
    <w:p w:rsidR="00A77C80" w:rsidRDefault="00A863BA">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46</w:t>
      </w:r>
      <w:r w:rsidRPr="00D43B7C">
        <w:rPr>
          <w:lang w:val="az-Latn-AZ"/>
        </w:rPr>
        <w:fldChar w:fldCharType="end"/>
      </w:r>
      <w:r w:rsidRPr="00D43B7C">
        <w:rPr>
          <w:lang w:val="az-Latn-AZ"/>
        </w:rPr>
        <w:t>. </w:t>
      </w:r>
      <w:r w:rsidRPr="00D43B7C" w:rsidR="00A33D3D">
        <w:rPr>
          <w:lang w:val="az-Latn-AZ"/>
        </w:rPr>
        <w:t>Buna görə də Məhk</w:t>
      </w:r>
      <w:r w:rsidR="00EE6609">
        <w:rPr>
          <w:lang w:val="az-Latn-AZ"/>
        </w:rPr>
        <w:t>əmə ərizəçilərin öz yazışma</w:t>
      </w:r>
      <w:r w:rsidRPr="00D43B7C" w:rsidR="00A33D3D">
        <w:rPr>
          <w:lang w:val="az-Latn-AZ"/>
        </w:rPr>
        <w:t xml:space="preserve"> hüquqlarına müdaxilənin</w:t>
      </w:r>
      <w:r w:rsidRPr="00D43B7C">
        <w:rPr>
          <w:lang w:val="az-Latn-AZ"/>
        </w:rPr>
        <w:t> </w:t>
      </w:r>
      <w:r w:rsidRPr="00D43B7C" w:rsidR="000871AC">
        <w:rPr>
          <w:lang w:val="az-Latn-AZ"/>
        </w:rPr>
        <w:t>8-ci maddənin 2-ci bəndinin tələblərinə cavab verdiyini müəyyən etməlidir.</w:t>
      </w:r>
    </w:p>
    <w:p w:rsidRPr="00D43B7C" w:rsidR="00436C3A" w:rsidP="00924A59" w:rsidRDefault="006B2A91">
      <w:pPr>
        <w:pStyle w:val="JuHA"/>
        <w:outlineLvl w:val="0"/>
        <w:rPr>
          <w:lang w:val="az-Latn-AZ"/>
        </w:rPr>
      </w:pPr>
      <w:r w:rsidRPr="00D43B7C">
        <w:rPr>
          <w:lang w:val="az-Latn-AZ"/>
        </w:rPr>
        <w:t>B. </w:t>
      </w:r>
      <w:r w:rsidRPr="00D43B7C" w:rsidR="00F3136E">
        <w:rPr>
          <w:lang w:val="az-Latn-AZ"/>
        </w:rPr>
        <w:t>8-ci maddəyə uyğun</w:t>
      </w:r>
      <w:r w:rsidRPr="00D43B7C">
        <w:rPr>
          <w:lang w:val="az-Latn-AZ"/>
        </w:rPr>
        <w:t> </w:t>
      </w:r>
      <w:r w:rsidRPr="00D43B7C" w:rsidR="00F3136E">
        <w:rPr>
          <w:lang w:val="az-Latn-AZ"/>
        </w:rPr>
        <w:t>olma məsələsi</w:t>
      </w:r>
    </w:p>
    <w:p w:rsidRPr="00D43B7C" w:rsidR="000911D8" w:rsidRDefault="000911D8">
      <w:pPr>
        <w:pStyle w:val="JuH1"/>
        <w:rPr>
          <w:lang w:val="az-Latn-AZ"/>
        </w:rPr>
      </w:pPr>
      <w:r w:rsidRPr="00D43B7C">
        <w:rPr>
          <w:lang w:val="az-Latn-AZ"/>
        </w:rPr>
        <w:t>1. </w:t>
      </w:r>
      <w:r w:rsidRPr="00D43B7C" w:rsidR="00F3136E">
        <w:rPr>
          <w:lang w:val="az-Latn-AZ"/>
        </w:rPr>
        <w:t xml:space="preserve">Tərəflərin </w:t>
      </w:r>
      <w:r w:rsidR="009A30D5">
        <w:rPr>
          <w:lang w:val="az-Latn-AZ"/>
        </w:rPr>
        <w:t>təqdimatları</w:t>
      </w:r>
    </w:p>
    <w:p w:rsidR="00A77C80" w:rsidP="001602F8" w:rsidRDefault="001602F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47</w:t>
      </w:r>
      <w:r w:rsidRPr="00D43B7C">
        <w:rPr>
          <w:lang w:val="az-Latn-AZ"/>
        </w:rPr>
        <w:fldChar w:fldCharType="end"/>
      </w:r>
      <w:r w:rsidRPr="00D43B7C">
        <w:rPr>
          <w:lang w:val="az-Latn-AZ"/>
        </w:rPr>
        <w:t>. </w:t>
      </w:r>
      <w:r w:rsidRPr="00D43B7C" w:rsidR="001D414A">
        <w:rPr>
          <w:lang w:val="az-Latn-AZ"/>
        </w:rPr>
        <w:t xml:space="preserve">Məhkəmə ilk öncə özünün qəbuledilənlilik məsələsinə dair </w:t>
      </w:r>
      <w:r w:rsidRPr="00D43B7C" w:rsidR="00FF3259">
        <w:rPr>
          <w:lang w:val="az-Latn-AZ"/>
        </w:rPr>
        <w:t xml:space="preserve">16 may 2006-cı il tarixli </w:t>
      </w:r>
      <w:r w:rsidRPr="00D43B7C" w:rsidR="001D414A">
        <w:rPr>
          <w:lang w:val="az-Latn-AZ"/>
        </w:rPr>
        <w:t xml:space="preserve">qərarında Hökumətin </w:t>
      </w:r>
      <w:r w:rsidR="009A30D5">
        <w:rPr>
          <w:lang w:val="az-Latn-AZ"/>
        </w:rPr>
        <w:t xml:space="preserve">işə mahiyyət üzrə baxılarkən ölkədaxili hüquq vasitələrinin tükəndirilməməsi ilə bağlı </w:t>
      </w:r>
      <w:r w:rsidRPr="009A30D5" w:rsidR="009A30D5">
        <w:rPr>
          <w:lang w:val="az-Latn-AZ"/>
        </w:rPr>
        <w:t>(</w:t>
      </w:r>
      <w:r w:rsidRPr="009A30D5" w:rsidR="001D414A">
        <w:rPr>
          <w:lang w:val="az-Latn-AZ"/>
        </w:rPr>
        <w:t>as to non-exhaustion to the merits</w:t>
      </w:r>
      <w:r w:rsidRPr="009A30D5" w:rsidR="009A30D5">
        <w:rPr>
          <w:lang w:val="az-Latn-AZ"/>
        </w:rPr>
        <w:t>)</w:t>
      </w:r>
      <w:r w:rsidRPr="00D43B7C" w:rsidR="001D414A">
        <w:rPr>
          <w:lang w:val="az-Latn-AZ"/>
        </w:rPr>
        <w:t xml:space="preserve"> etirazına qoşulduğunu müşahidə edir. </w:t>
      </w:r>
      <w:r w:rsidRPr="00D43B7C" w:rsidR="00FF3259">
        <w:rPr>
          <w:lang w:val="az-Latn-AZ"/>
        </w:rPr>
        <w:t xml:space="preserve">Hökumət sənədlərin və ya məlumatın möhürlənməsi və onların istintaqda istifadə edilib-edilməməsinə dair məhkəmənin qərarını almaq üçün məhkəməyə göndərilməsi kimi </w:t>
      </w:r>
      <w:r w:rsidRPr="00D43B7C" w:rsidR="00384815">
        <w:rPr>
          <w:lang w:val="az-Latn-AZ"/>
        </w:rPr>
        <w:t xml:space="preserve">Cinayət Prosessual Məcəlləsinin </w:t>
      </w:r>
      <w:r w:rsidRPr="00D43B7C" w:rsidR="00FF3259">
        <w:rPr>
          <w:lang w:val="az-Latn-AZ"/>
        </w:rPr>
        <w:t xml:space="preserve">təmin etdiyi imkandan ərizəçilərin yararlanmadığını iddia edirdi. </w:t>
      </w:r>
      <w:r w:rsidRPr="00D43B7C" w:rsidR="00384815">
        <w:rPr>
          <w:lang w:val="az-Latn-AZ"/>
        </w:rPr>
        <w:t>Ərizəçilə</w:t>
      </w:r>
      <w:r w:rsidRPr="00D43B7C" w:rsidR="0028158A">
        <w:rPr>
          <w:lang w:val="az-Latn-AZ"/>
        </w:rPr>
        <w:t>r</w:t>
      </w:r>
      <w:r w:rsidRPr="00D43B7C" w:rsidR="00384815">
        <w:rPr>
          <w:lang w:val="az-Latn-AZ"/>
        </w:rPr>
        <w:t xml:space="preserve"> bu mövqe ilə razılaşmadılar və </w:t>
      </w:r>
      <w:r w:rsidRPr="00D43B7C" w:rsidR="00CE2C9F">
        <w:rPr>
          <w:lang w:val="az-Latn-AZ"/>
        </w:rPr>
        <w:t xml:space="preserve">bildirdilər ki, </w:t>
      </w:r>
      <w:r w:rsidRPr="00D43B7C" w:rsidR="00384815">
        <w:rPr>
          <w:lang w:val="az-Latn-AZ"/>
        </w:rPr>
        <w:t xml:space="preserve">axtarış </w:t>
      </w:r>
      <w:r w:rsidRPr="00D43B7C" w:rsidR="00CE2C9F">
        <w:rPr>
          <w:lang w:val="az-Latn-AZ"/>
        </w:rPr>
        <w:t xml:space="preserve">elə bir </w:t>
      </w:r>
      <w:r w:rsidRPr="00D43B7C" w:rsidR="00384815">
        <w:rPr>
          <w:lang w:val="az-Latn-AZ"/>
        </w:rPr>
        <w:t>forma</w:t>
      </w:r>
      <w:r w:rsidRPr="00D43B7C" w:rsidR="00CE2C9F">
        <w:rPr>
          <w:lang w:val="az-Latn-AZ"/>
        </w:rPr>
        <w:t>da aparıldı ki,</w:t>
      </w:r>
      <w:r w:rsidR="00A77C80">
        <w:rPr>
          <w:lang w:val="az-Latn-AZ"/>
        </w:rPr>
        <w:t xml:space="preserve"> </w:t>
      </w:r>
      <w:r w:rsidRPr="00D43B7C" w:rsidR="00CE2C9F">
        <w:rPr>
          <w:lang w:val="az-Latn-AZ"/>
        </w:rPr>
        <w:t xml:space="preserve">onlar </w:t>
      </w:r>
      <w:r w:rsidRPr="00D43B7C" w:rsidR="00384815">
        <w:rPr>
          <w:lang w:val="az-Latn-AZ"/>
        </w:rPr>
        <w:t xml:space="preserve">öz hüquqlarından səmərəli istifadə etmək imkanından məhrum </w:t>
      </w:r>
      <w:r w:rsidRPr="00D43B7C" w:rsidR="00CE2C9F">
        <w:rPr>
          <w:lang w:val="az-Latn-AZ"/>
        </w:rPr>
        <w:t>oldular</w:t>
      </w:r>
      <w:r w:rsidRPr="00D43B7C" w:rsidR="00384815">
        <w:rPr>
          <w:lang w:val="az-Latn-AZ"/>
        </w:rPr>
        <w:t>.</w:t>
      </w:r>
    </w:p>
    <w:p w:rsidR="00A77C80" w:rsidP="00DC53FD"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48</w:t>
      </w:r>
      <w:r w:rsidRPr="00D43B7C">
        <w:rPr>
          <w:lang w:val="az-Latn-AZ"/>
        </w:rPr>
        <w:fldChar w:fldCharType="end"/>
      </w:r>
      <w:r w:rsidRPr="00D43B7C">
        <w:rPr>
          <w:lang w:val="az-Latn-AZ"/>
        </w:rPr>
        <w:t>. </w:t>
      </w:r>
      <w:r w:rsidRPr="00D43B7C" w:rsidR="00802279">
        <w:rPr>
          <w:lang w:val="az-Latn-AZ"/>
        </w:rPr>
        <w:t>Mahiyyət məsələsinə gəldikdə, ərizəçilər elektron məlumat</w:t>
      </w:r>
      <w:r w:rsidRPr="00D43B7C" w:rsidR="00636483">
        <w:rPr>
          <w:lang w:val="az-Latn-AZ"/>
        </w:rPr>
        <w:t>lar</w:t>
      </w:r>
      <w:r w:rsidRPr="00D43B7C" w:rsidR="00802279">
        <w:rPr>
          <w:lang w:val="az-Latn-AZ"/>
        </w:rPr>
        <w:t xml:space="preserve"> üzərində axtarış və müsadirə</w:t>
      </w:r>
      <w:r w:rsidRPr="00D43B7C" w:rsidR="00DC53FD">
        <w:rPr>
          <w:lang w:val="az-Latn-AZ"/>
        </w:rPr>
        <w:t>nin</w:t>
      </w:r>
      <w:r w:rsidRPr="00D43B7C" w:rsidR="00802279">
        <w:rPr>
          <w:lang w:val="az-Latn-AZ"/>
        </w:rPr>
        <w:t xml:space="preserve"> qeyri-mütənasib olduğunu bəyan edirdilər. </w:t>
      </w:r>
      <w:r w:rsidRPr="00D43B7C" w:rsidR="00DC53FD">
        <w:rPr>
          <w:lang w:val="az-Latn-AZ"/>
        </w:rPr>
        <w:t>Onlar birinci ərizəçinin yalnız ərizəçi şirkətin meneceri deyil, eyni zamanda onun və Novamed şirkətinin nümayənd</w:t>
      </w:r>
      <w:r w:rsidRPr="00D43B7C" w:rsidR="0028158A">
        <w:rPr>
          <w:lang w:val="az-Latn-AZ"/>
        </w:rPr>
        <w:t>ə</w:t>
      </w:r>
      <w:r w:rsidRPr="00D43B7C" w:rsidR="00636483">
        <w:rPr>
          <w:lang w:val="az-Latn-AZ"/>
        </w:rPr>
        <w:t>si</w:t>
      </w:r>
      <w:r w:rsidRPr="00D43B7C" w:rsidR="00DC53FD">
        <w:rPr>
          <w:lang w:val="az-Latn-AZ"/>
        </w:rPr>
        <w:t xml:space="preserve"> olduğunu qeyd etdilər. Beləliklə axtarış nümayəndə kimi birinci ərizəçinin yazışmasını</w:t>
      </w:r>
      <w:r w:rsidRPr="00D43B7C" w:rsidR="00636483">
        <w:rPr>
          <w:lang w:val="az-Latn-AZ"/>
        </w:rPr>
        <w:t>n</w:t>
      </w:r>
      <w:r w:rsidRPr="00D43B7C" w:rsidR="00DC53FD">
        <w:rPr>
          <w:lang w:val="az-Latn-AZ"/>
        </w:rPr>
        <w:t>, misal üçün məktub və qeydlərin</w:t>
      </w:r>
      <w:r w:rsidRPr="00D43B7C" w:rsidR="00636483">
        <w:rPr>
          <w:lang w:val="az-Latn-AZ"/>
        </w:rPr>
        <w:t>in</w:t>
      </w:r>
      <w:r w:rsidRPr="00D43B7C" w:rsidR="00DC53FD">
        <w:rPr>
          <w:lang w:val="az-Latn-AZ"/>
        </w:rPr>
        <w:t xml:space="preserve"> açılmasına gətirib çıxarmışdır. Kağız sənədlərin axtarışı zamanı bütün belə sənədlər ya dərhal kənarlaşdırılmış, ya da peşə sirrinə aid olduğundan istintaqı aparan hakim tərəfindən möhürlənib ərizəçiyə qaytarılmışdır. Əksinə olaraq</w:t>
      </w:r>
      <w:r w:rsidRPr="00D43B7C" w:rsidR="00636483">
        <w:rPr>
          <w:lang w:val="az-Latn-AZ"/>
        </w:rPr>
        <w:t>,</w:t>
      </w:r>
      <w:r w:rsidRPr="00D43B7C" w:rsidR="00DC53FD">
        <w:rPr>
          <w:lang w:val="az-Latn-AZ"/>
        </w:rPr>
        <w:t xml:space="preserve"> elektron məlumatlar müvafiq prosedural təminatlara riayət e</w:t>
      </w:r>
      <w:r w:rsidRPr="00D43B7C" w:rsidR="00636483">
        <w:rPr>
          <w:lang w:val="az-Latn-AZ"/>
        </w:rPr>
        <w:t>dilmə</w:t>
      </w:r>
      <w:r w:rsidRPr="00D43B7C" w:rsidR="00DC53FD">
        <w:rPr>
          <w:lang w:val="az-Latn-AZ"/>
        </w:rPr>
        <w:t xml:space="preserve">dən müsadirə edilmişdir. </w:t>
      </w:r>
      <w:r w:rsidRPr="00D43B7C" w:rsidR="00BD406F">
        <w:rPr>
          <w:lang w:val="az-Latn-AZ"/>
        </w:rPr>
        <w:t>Bu məsələyə görə</w:t>
      </w:r>
      <w:r w:rsidRPr="00D43B7C" w:rsidR="00553931">
        <w:rPr>
          <w:lang w:val="az-Latn-AZ"/>
        </w:rPr>
        <w:t xml:space="preserve"> ərizəçilər daxili vasitələrin</w:t>
      </w:r>
      <w:r w:rsidRPr="00D43B7C" w:rsidR="00BD406F">
        <w:rPr>
          <w:lang w:val="az-Latn-AZ"/>
        </w:rPr>
        <w:t xml:space="preserve"> </w:t>
      </w:r>
      <w:r w:rsidRPr="00EE6609" w:rsidR="00BD406F">
        <w:rPr>
          <w:lang w:val="az-Latn-AZ"/>
        </w:rPr>
        <w:t>tükəndi</w:t>
      </w:r>
      <w:r w:rsidRPr="00EE6609" w:rsidR="0028158A">
        <w:rPr>
          <w:lang w:val="az-Latn-AZ"/>
        </w:rPr>
        <w:t>r</w:t>
      </w:r>
      <w:r w:rsidRPr="00EE6609" w:rsidR="00553931">
        <w:rPr>
          <w:lang w:val="az-Latn-AZ"/>
        </w:rPr>
        <w:t>il</w:t>
      </w:r>
      <w:r w:rsidRPr="00EE6609" w:rsidR="00BD406F">
        <w:rPr>
          <w:lang w:val="az-Latn-AZ"/>
        </w:rPr>
        <w:t>məsinə</w:t>
      </w:r>
      <w:r w:rsidRPr="00D43B7C" w:rsidR="00BD406F">
        <w:rPr>
          <w:lang w:val="az-Latn-AZ"/>
        </w:rPr>
        <w:t xml:space="preserve"> dair təqdim etdi</w:t>
      </w:r>
      <w:r w:rsidRPr="00D43B7C" w:rsidR="00553931">
        <w:rPr>
          <w:lang w:val="az-Latn-AZ"/>
        </w:rPr>
        <w:t>kləri</w:t>
      </w:r>
      <w:r w:rsidRPr="00D43B7C" w:rsidR="00BD406F">
        <w:rPr>
          <w:lang w:val="az-Latn-AZ"/>
        </w:rPr>
        <w:t xml:space="preserve"> eyni arqumentlərə arxalanırdılar.</w:t>
      </w:r>
    </w:p>
    <w:p w:rsidR="00A77C80" w:rsidP="009B4754" w:rsidRDefault="001602F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49</w:t>
      </w:r>
      <w:r w:rsidRPr="00D43B7C">
        <w:rPr>
          <w:lang w:val="az-Latn-AZ"/>
        </w:rPr>
        <w:fldChar w:fldCharType="end"/>
      </w:r>
      <w:r w:rsidRPr="00D43B7C">
        <w:rPr>
          <w:lang w:val="az-Latn-AZ"/>
        </w:rPr>
        <w:t>. </w:t>
      </w:r>
      <w:r w:rsidRPr="00D43B7C" w:rsidR="00E556EB">
        <w:rPr>
          <w:lang w:val="az-Latn-AZ"/>
        </w:rPr>
        <w:t>Ərizəçilər ərizəçi şirkətin hüquqlarının da pozul</w:t>
      </w:r>
      <w:r w:rsidRPr="00D43B7C" w:rsidR="009B4754">
        <w:rPr>
          <w:lang w:val="az-Latn-AZ"/>
        </w:rPr>
        <w:t>duğunu</w:t>
      </w:r>
      <w:r w:rsidRPr="00D43B7C" w:rsidR="00E556EB">
        <w:rPr>
          <w:lang w:val="az-Latn-AZ"/>
        </w:rPr>
        <w:t xml:space="preserve"> qeyd edirdi, çünki </w:t>
      </w:r>
      <w:r w:rsidRPr="00D43B7C" w:rsidR="009B4754">
        <w:rPr>
          <w:lang w:val="az-Latn-AZ"/>
        </w:rPr>
        <w:t xml:space="preserve">hansı məlumatın müsadirə edildiyinə nəzarət etmək imkanı onda yox idi. </w:t>
      </w:r>
      <w:r w:rsidRPr="00D43B7C" w:rsidR="00D76AC4">
        <w:rPr>
          <w:lang w:val="az-Latn-AZ"/>
        </w:rPr>
        <w:t>Bikos sözü üzrə axtarış istər-istəməz axtarış orderində müəyyən edilən məsələlərə aid olmayan məlumat</w:t>
      </w:r>
      <w:r w:rsidRPr="00D43B7C" w:rsidR="00553931">
        <w:rPr>
          <w:lang w:val="az-Latn-AZ"/>
        </w:rPr>
        <w:t>lar</w:t>
      </w:r>
      <w:r w:rsidRPr="00D43B7C" w:rsidR="00D76AC4">
        <w:rPr>
          <w:lang w:val="az-Latn-AZ"/>
        </w:rPr>
        <w:t>ın da ortaya çıxmasına gətirib çıxarmışdır. Cinayət Prosessual Məcəll</w:t>
      </w:r>
      <w:r w:rsidR="00F55637">
        <w:rPr>
          <w:lang w:val="az-Latn-AZ"/>
        </w:rPr>
        <w:t>əsində müəyyən edilən prosedur</w:t>
      </w:r>
      <w:r w:rsidRPr="00D43B7C" w:rsidR="00D76AC4">
        <w:rPr>
          <w:lang w:val="az-Latn-AZ"/>
        </w:rPr>
        <w:t xml:space="preserve"> təminatlar</w:t>
      </w:r>
      <w:r w:rsidR="00F55637">
        <w:rPr>
          <w:lang w:val="az-Latn-AZ"/>
        </w:rPr>
        <w:t>ın</w:t>
      </w:r>
      <w:r w:rsidRPr="00D43B7C" w:rsidR="00D76AC4">
        <w:rPr>
          <w:lang w:val="az-Latn-AZ"/>
        </w:rPr>
        <w:t>a riayət edilməmişdir, çünki ərizəçi şirkətə məlumatı möhürləmək və istintaqı aparan hakimdən hansı məlumatın istintaq üçün istifadə edilib-edilməməsinə dair qərar əldə etmək imkanı</w:t>
      </w:r>
      <w:r w:rsidRPr="00D43B7C" w:rsidR="00897E62">
        <w:rPr>
          <w:lang w:val="az-Latn-AZ"/>
        </w:rPr>
        <w:t xml:space="preserve"> verilməmişdir</w:t>
      </w:r>
      <w:r w:rsidRPr="00D43B7C" w:rsidR="00D76AC4">
        <w:rPr>
          <w:lang w:val="az-Latn-AZ"/>
        </w:rPr>
        <w:t>.</w:t>
      </w:r>
    </w:p>
    <w:p w:rsidR="00A77C80" w:rsidP="001602F8" w:rsidRDefault="001602F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50</w:t>
      </w:r>
      <w:r w:rsidRPr="00D43B7C">
        <w:rPr>
          <w:lang w:val="az-Latn-AZ"/>
        </w:rPr>
        <w:fldChar w:fldCharType="end"/>
      </w:r>
      <w:r w:rsidRPr="00D43B7C" w:rsidR="00790CDB">
        <w:rPr>
          <w:lang w:val="az-Latn-AZ"/>
        </w:rPr>
        <w:t>. </w:t>
      </w:r>
      <w:r w:rsidRPr="00D43B7C" w:rsidR="00897E62">
        <w:rPr>
          <w:lang w:val="az-Latn-AZ"/>
        </w:rPr>
        <w:t>Hökumət ilk əvvəl ərizəçilərin yalnız elektron məlumat</w:t>
      </w:r>
      <w:r w:rsidRPr="00D43B7C" w:rsidR="00553931">
        <w:rPr>
          <w:lang w:val="az-Latn-AZ"/>
        </w:rPr>
        <w:t>lar</w:t>
      </w:r>
      <w:r w:rsidRPr="00D43B7C" w:rsidR="00897E62">
        <w:rPr>
          <w:lang w:val="az-Latn-AZ"/>
        </w:rPr>
        <w:t>ın axtarışından şikayət etdi</w:t>
      </w:r>
      <w:r w:rsidRPr="00D43B7C" w:rsidR="00553931">
        <w:rPr>
          <w:lang w:val="az-Latn-AZ"/>
        </w:rPr>
        <w:t>kləri</w:t>
      </w:r>
      <w:r w:rsidRPr="00D43B7C" w:rsidR="00897E62">
        <w:rPr>
          <w:lang w:val="az-Latn-AZ"/>
        </w:rPr>
        <w:t>ni və onların arqumentlərinin əsasən birinci ərizəçinin vəkil kimi vəzifəsinə aid olduğunu və onun peşə sirrini qorumaq vəzifəsini mühafizə etmək üçün təminatların güman edildiyi kimi olmamasını, eyni zamanda ərizəçi şirkətin şikayətin</w:t>
      </w:r>
      <w:r w:rsidRPr="00D43B7C" w:rsidR="00553931">
        <w:rPr>
          <w:lang w:val="az-Latn-AZ"/>
        </w:rPr>
        <w:t>in</w:t>
      </w:r>
      <w:r w:rsidRPr="00D43B7C" w:rsidR="00897E62">
        <w:rPr>
          <w:lang w:val="az-Latn-AZ"/>
        </w:rPr>
        <w:t xml:space="preserve"> əsassız olduğunu qeyd edirdi.</w:t>
      </w:r>
    </w:p>
    <w:p w:rsidR="00A77C80" w:rsidP="001602F8" w:rsidRDefault="001602F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51</w:t>
      </w:r>
      <w:r w:rsidRPr="00D43B7C">
        <w:rPr>
          <w:lang w:val="az-Latn-AZ"/>
        </w:rPr>
        <w:fldChar w:fldCharType="end"/>
      </w:r>
      <w:r w:rsidRPr="00D43B7C">
        <w:rPr>
          <w:lang w:val="az-Latn-AZ"/>
        </w:rPr>
        <w:t>. </w:t>
      </w:r>
      <w:r w:rsidRPr="00D43B7C" w:rsidR="00C26B47">
        <w:rPr>
          <w:lang w:val="az-Latn-AZ"/>
        </w:rPr>
        <w:t>Məhkəmənin presedent hüququna istinad edərək Hökumət elektron məlumat</w:t>
      </w:r>
      <w:r w:rsidRPr="00D43B7C" w:rsidR="00553931">
        <w:rPr>
          <w:lang w:val="az-Latn-AZ"/>
        </w:rPr>
        <w:t>lar</w:t>
      </w:r>
      <w:r w:rsidRPr="00D43B7C" w:rsidR="00C26B47">
        <w:rPr>
          <w:lang w:val="az-Latn-AZ"/>
        </w:rPr>
        <w:t>ın axtarışının və müsadirə edilməsinin Cinayət Prosessual Məcəlləsində qanuni əsası olduğunu və cinayətin qarşısının alınması və sağlamlığın müdafiə edilməsi kimi qanuni məqsədlər güddüyünü iddia edirdi.</w:t>
      </w:r>
    </w:p>
    <w:p w:rsidR="00A77C80" w:rsidRDefault="001602F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52</w:t>
      </w:r>
      <w:r w:rsidRPr="00D43B7C">
        <w:rPr>
          <w:lang w:val="az-Latn-AZ"/>
        </w:rPr>
        <w:fldChar w:fldCharType="end"/>
      </w:r>
      <w:r w:rsidRPr="00D43B7C">
        <w:rPr>
          <w:lang w:val="az-Latn-AZ"/>
        </w:rPr>
        <w:t>. </w:t>
      </w:r>
      <w:r w:rsidRPr="00D43B7C" w:rsidR="00C26B47">
        <w:rPr>
          <w:lang w:val="az-Latn-AZ"/>
        </w:rPr>
        <w:t>Müdaxilənin zəruri olmasına gəldikdə, Hökumət məlumat</w:t>
      </w:r>
      <w:r w:rsidRPr="00D43B7C" w:rsidR="00553931">
        <w:rPr>
          <w:lang w:val="az-Latn-AZ"/>
        </w:rPr>
        <w:t>lar</w:t>
      </w:r>
      <w:r w:rsidRPr="00D43B7C" w:rsidR="00C26B47">
        <w:rPr>
          <w:lang w:val="az-Latn-AZ"/>
        </w:rPr>
        <w:t xml:space="preserve">ın axtarışının və müsadirəsinin </w:t>
      </w:r>
      <w:r w:rsidR="00F55637">
        <w:rPr>
          <w:lang w:val="az-Latn-AZ"/>
        </w:rPr>
        <w:t xml:space="preserve">qarşıya qoyulan </w:t>
      </w:r>
      <w:r w:rsidR="00EE6609">
        <w:rPr>
          <w:lang w:val="az-Latn-AZ"/>
        </w:rPr>
        <w:t>legitim</w:t>
      </w:r>
      <w:r w:rsidR="00F55637">
        <w:rPr>
          <w:lang w:val="az-Latn-AZ"/>
        </w:rPr>
        <w:t xml:space="preserve"> məqsədə mütənasib</w:t>
      </w:r>
      <w:r w:rsidRPr="00D43B7C" w:rsidR="00C26B47">
        <w:rPr>
          <w:lang w:val="az-Latn-AZ"/>
        </w:rPr>
        <w:t xml:space="preserve"> olduğunu iddia edirdi. Mübahisələndirilən tədbirlər məhkəmənin axtarış orderi əsasında başlanmışdır və həmin orderin qoyduğu konkret məsələlər ilə məhdudlaşırdı. </w:t>
      </w:r>
      <w:r w:rsidRPr="00D43B7C" w:rsidR="0013174E">
        <w:rPr>
          <w:lang w:val="az-Latn-AZ"/>
        </w:rPr>
        <w:t>Bundan başqa</w:t>
      </w:r>
      <w:r w:rsidRPr="00D43B7C" w:rsidR="00553931">
        <w:rPr>
          <w:lang w:val="az-Latn-AZ"/>
        </w:rPr>
        <w:t>,</w:t>
      </w:r>
      <w:r w:rsidRPr="00D43B7C" w:rsidR="0013174E">
        <w:rPr>
          <w:lang w:val="az-Latn-AZ"/>
        </w:rPr>
        <w:t xml:space="preserve"> </w:t>
      </w:r>
      <w:r w:rsidRPr="00D43B7C" w:rsidR="0028158A">
        <w:rPr>
          <w:lang w:val="az-Latn-AZ"/>
        </w:rPr>
        <w:t xml:space="preserve">Avstriya </w:t>
      </w:r>
      <w:r w:rsidRPr="00D43B7C" w:rsidR="0013174E">
        <w:rPr>
          <w:lang w:val="az-Latn-AZ"/>
        </w:rPr>
        <w:t>qanununda vəkilin ofisinin axtarışına dair konkret prosedural təminatlar müəyyən edilib. Bu təminatlara riayət edilib, çünki axtarış ərizəçinin və Vəkillər Kollegiyasının nümayəndəsinin iştirakı ilə aparılıb və onların rolu axtarışın birinci ərizəçinin peşə sirrini qorumaq vəzifəsinə zidd olmamasında</w:t>
      </w:r>
      <w:r w:rsidRPr="00D43B7C" w:rsidR="00553931">
        <w:rPr>
          <w:lang w:val="az-Latn-AZ"/>
        </w:rPr>
        <w:t>n</w:t>
      </w:r>
      <w:r w:rsidRPr="00D43B7C" w:rsidR="0013174E">
        <w:rPr>
          <w:lang w:val="az-Latn-AZ"/>
        </w:rPr>
        <w:t xml:space="preserve"> əmin olmaq idi. Axtarış orderinə uyğun olaraq, birinci ərizəçinin kompyüter sistemlərində müəyyən köməkçi sözlər, məsələn, Novamed və Bikos kimi aidiyyat</w:t>
      </w:r>
      <w:r w:rsidRPr="00D43B7C" w:rsidR="00553931">
        <w:rPr>
          <w:lang w:val="az-Latn-AZ"/>
        </w:rPr>
        <w:t>l</w:t>
      </w:r>
      <w:r w:rsidRPr="00D43B7C" w:rsidR="0013174E">
        <w:rPr>
          <w:lang w:val="az-Latn-AZ"/>
        </w:rPr>
        <w:t xml:space="preserve">ı şirkətlərin və İtaliyada aparılan icraatdakı şübhəli şəxslərin adları vasitəsi ilə axtarış keçirilib. </w:t>
      </w:r>
      <w:r w:rsidR="00196957">
        <w:rPr>
          <w:lang w:val="az-Latn-AZ"/>
        </w:rPr>
        <w:t>Birinci ərizəçi</w:t>
      </w:r>
      <w:r w:rsidRPr="00D43B7C" w:rsidR="00BC4104">
        <w:rPr>
          <w:lang w:val="az-Latn-AZ"/>
        </w:rPr>
        <w:t xml:space="preserve"> ikinci ərizəçinin nümayəndəsi olmadığından onların vəkil-müştəri münasibətlərinə təsir olmamışdır. Bundan başqa, Vəkillər Kollegiyasının nümayəndəsi birinci ərizəçinin kompyüter sistemində axtarış barədə məlumatlandırılmışdır və axtarış prosesi məlumatın </w:t>
      </w:r>
      <w:r w:rsidR="00196957">
        <w:rPr>
          <w:lang w:val="az-Latn-AZ"/>
        </w:rPr>
        <w:t>qorunması</w:t>
      </w:r>
      <w:r w:rsidRPr="00D43B7C" w:rsidR="00BC4104">
        <w:rPr>
          <w:lang w:val="az-Latn-AZ"/>
        </w:rPr>
        <w:t xml:space="preserve"> protokolunda </w:t>
      </w:r>
      <w:r w:rsidRPr="00196957" w:rsidR="00BC4104">
        <w:rPr>
          <w:lang w:val="az-Latn-AZ"/>
        </w:rPr>
        <w:t>(data-securing report)</w:t>
      </w:r>
      <w:r w:rsidRPr="00D43B7C" w:rsidR="00BC4104">
        <w:rPr>
          <w:lang w:val="az-Latn-AZ"/>
        </w:rPr>
        <w:t xml:space="preserve"> əks edilmişdir. Bu protokolun axtarış zamanı deyil</w:t>
      </w:r>
      <w:r w:rsidRPr="00D43B7C" w:rsidR="00553931">
        <w:rPr>
          <w:lang w:val="az-Latn-AZ"/>
        </w:rPr>
        <w:t>,</w:t>
      </w:r>
      <w:r w:rsidRPr="00D43B7C" w:rsidR="00BC4104">
        <w:rPr>
          <w:lang w:val="az-Latn-AZ"/>
        </w:rPr>
        <w:t xml:space="preserve"> həmin gün daha sonra tərtib edilməsi faktı əhəmiyyət kəsb etmirdi, çünki protokolun aparılmasının hansı məlumatın müsadirə edilməsi kimi əsas məqsədinə nail olunmuşdur.</w:t>
      </w:r>
    </w:p>
    <w:p w:rsidRPr="00D43B7C" w:rsidR="000911D8" w:rsidP="00924A59" w:rsidRDefault="000911D8">
      <w:pPr>
        <w:pStyle w:val="JuH1"/>
        <w:outlineLvl w:val="0"/>
        <w:rPr>
          <w:lang w:val="az-Latn-AZ"/>
        </w:rPr>
      </w:pPr>
      <w:r w:rsidRPr="00D43B7C">
        <w:rPr>
          <w:lang w:val="az-Latn-AZ"/>
        </w:rPr>
        <w:t>2. </w:t>
      </w:r>
      <w:r w:rsidRPr="00D43B7C" w:rsidR="0000312E">
        <w:rPr>
          <w:lang w:val="az-Latn-AZ"/>
        </w:rPr>
        <w:t>Məhkəmənin qiymət</w:t>
      </w:r>
      <w:r w:rsidR="008B32FD">
        <w:rPr>
          <w:lang w:val="az-Latn-AZ"/>
        </w:rPr>
        <w:t>ləndirilməsi</w:t>
      </w:r>
    </w:p>
    <w:p w:rsidRPr="00D43B7C" w:rsidR="00AF0E0B" w:rsidP="00AF0E0B" w:rsidRDefault="005C7D89">
      <w:pPr>
        <w:pStyle w:val="JuHa0"/>
        <w:rPr>
          <w:lang w:val="az-Latn-AZ"/>
        </w:rPr>
      </w:pPr>
      <w:r w:rsidRPr="00D43B7C">
        <w:rPr>
          <w:lang w:val="az-Latn-AZ"/>
        </w:rPr>
        <w:t>(</w:t>
      </w:r>
      <w:r w:rsidRPr="00D43B7C" w:rsidR="00436C3A">
        <w:rPr>
          <w:lang w:val="az-Latn-AZ"/>
        </w:rPr>
        <w:t>a</w:t>
      </w:r>
      <w:r w:rsidRPr="00D43B7C">
        <w:rPr>
          <w:lang w:val="az-Latn-AZ"/>
        </w:rPr>
        <w:t>)</w:t>
      </w:r>
      <w:r w:rsidRPr="00D43B7C" w:rsidR="00436C3A">
        <w:rPr>
          <w:lang w:val="az-Latn-AZ"/>
        </w:rPr>
        <w:t> </w:t>
      </w:r>
      <w:r w:rsidRPr="00D43B7C" w:rsidR="0000312E">
        <w:rPr>
          <w:lang w:val="az-Latn-AZ"/>
        </w:rPr>
        <w:t>Qanun</w:t>
      </w:r>
      <w:r w:rsidRPr="00D43B7C" w:rsidR="000852BE">
        <w:rPr>
          <w:lang w:val="az-Latn-AZ"/>
        </w:rPr>
        <w:t>a</w:t>
      </w:r>
      <w:r w:rsidRPr="00D43B7C" w:rsidR="0000312E">
        <w:rPr>
          <w:lang w:val="az-Latn-AZ"/>
        </w:rPr>
        <w:t xml:space="preserve"> uyğun</w:t>
      </w:r>
      <w:r w:rsidR="000F12E1">
        <w:rPr>
          <w:lang w:val="az-Latn-AZ"/>
        </w:rPr>
        <w:t>luq</w:t>
      </w:r>
    </w:p>
    <w:p w:rsidRPr="00D43B7C" w:rsidR="000911D8" w:rsidRDefault="000911D8">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53</w:t>
      </w:r>
      <w:r w:rsidRPr="00D43B7C">
        <w:rPr>
          <w:lang w:val="az-Latn-AZ"/>
        </w:rPr>
        <w:fldChar w:fldCharType="end"/>
      </w:r>
      <w:r w:rsidRPr="00D43B7C">
        <w:rPr>
          <w:lang w:val="az-Latn-AZ"/>
        </w:rPr>
        <w:t>. </w:t>
      </w:r>
      <w:r w:rsidRPr="00D43B7C" w:rsidR="0000312E">
        <w:rPr>
          <w:lang w:val="az-Latn-AZ"/>
        </w:rPr>
        <w:t xml:space="preserve">Məhkəmə </w:t>
      </w:r>
      <w:r w:rsidRPr="00D43B7C" w:rsidR="008975D6">
        <w:rPr>
          <w:lang w:val="az-Latn-AZ"/>
        </w:rPr>
        <w:t xml:space="preserve">xatırladır ki, </w:t>
      </w:r>
      <w:r w:rsidRPr="00D43B7C" w:rsidR="0000312E">
        <w:rPr>
          <w:lang w:val="az-Latn-AZ"/>
        </w:rPr>
        <w:t>müdaxilənin “qanuna uyğun olan” kimi</w:t>
      </w:r>
      <w:r w:rsidRPr="00D43B7C">
        <w:rPr>
          <w:lang w:val="az-Latn-AZ"/>
        </w:rPr>
        <w:t> </w:t>
      </w:r>
      <w:r w:rsidRPr="00D43B7C" w:rsidR="0000312E">
        <w:rPr>
          <w:lang w:val="az-Latn-AZ"/>
        </w:rPr>
        <w:t xml:space="preserve">adlandırması üçün ilk əvvəl onun daxili </w:t>
      </w:r>
      <w:r w:rsidRPr="00D43B7C" w:rsidR="008975D6">
        <w:rPr>
          <w:lang w:val="az-Latn-AZ"/>
        </w:rPr>
        <w:t>qanunverici</w:t>
      </w:r>
      <w:r w:rsidR="00EE6609">
        <w:rPr>
          <w:lang w:val="az-Latn-AZ"/>
        </w:rPr>
        <w:t>likdə hər-hansı əsasının olması</w:t>
      </w:r>
      <w:r w:rsidRPr="00D43B7C" w:rsidR="008975D6">
        <w:rPr>
          <w:lang w:val="az-Latn-AZ"/>
        </w:rPr>
        <w:t xml:space="preserve"> tələb olunur. Konvensiyanın 8-ci maddəsinin 2-ci bəndinə gəldikdə, “qanun” termini onun “formal” mənası</w:t>
      </w:r>
      <w:r w:rsidRPr="00D43B7C" w:rsidR="00237EE4">
        <w:rPr>
          <w:lang w:val="az-Latn-AZ"/>
        </w:rPr>
        <w:t>n</w:t>
      </w:r>
      <w:r w:rsidRPr="00D43B7C" w:rsidR="008975D6">
        <w:rPr>
          <w:lang w:val="az-Latn-AZ"/>
        </w:rPr>
        <w:t xml:space="preserve">da deyil, “məzmun” mənasında başa düşülməlidir. Yazılı qanunların əhatə etdiyi sahədə “qanun” onun məhkəmələr tərəfindən şərh edilmiş hüquq normasıdır </w:t>
      </w:r>
      <w:r w:rsidRPr="00D43B7C" w:rsidR="00D82AC3">
        <w:rPr>
          <w:lang w:val="az-Latn-AZ"/>
        </w:rPr>
        <w:t>(</w:t>
      </w:r>
      <w:r w:rsidRPr="00D43B7C" w:rsidR="008975D6">
        <w:rPr>
          <w:lang w:val="az-Latn-AZ"/>
        </w:rPr>
        <w:t>bax: yuxarıda qeyd edilən Sosiete Kolas Est və Digərləri işi (</w:t>
      </w:r>
      <w:r w:rsidRPr="00D43B7C" w:rsidR="00790CDB">
        <w:rPr>
          <w:i/>
          <w:lang w:val="az-Latn-AZ"/>
        </w:rPr>
        <w:t>Société</w:t>
      </w:r>
      <w:r w:rsidRPr="00D43B7C" w:rsidR="00D82AC3">
        <w:rPr>
          <w:i/>
          <w:lang w:val="az-Latn-AZ"/>
        </w:rPr>
        <w:t xml:space="preserve"> Colas Est and Others</w:t>
      </w:r>
      <w:r w:rsidRPr="00D43B7C" w:rsidR="008975D6">
        <w:rPr>
          <w:lang w:val="az-Latn-AZ"/>
        </w:rPr>
        <w:t>)</w:t>
      </w:r>
      <w:r w:rsidRPr="00D43B7C" w:rsidR="00D82AC3">
        <w:rPr>
          <w:lang w:val="az-Latn-AZ"/>
        </w:rPr>
        <w:t>, §</w:t>
      </w:r>
      <w:r w:rsidRPr="00D43B7C" w:rsidR="00A569B3">
        <w:rPr>
          <w:lang w:val="az-Latn-AZ"/>
        </w:rPr>
        <w:t xml:space="preserve"> </w:t>
      </w:r>
      <w:r w:rsidRPr="00D43B7C" w:rsidR="00D82AC3">
        <w:rPr>
          <w:lang w:val="az-Latn-AZ"/>
        </w:rPr>
        <w:t>43</w:t>
      </w:r>
      <w:r w:rsidRPr="00D43B7C" w:rsidR="000751F8">
        <w:rPr>
          <w:lang w:val="az-Latn-AZ"/>
        </w:rPr>
        <w:t xml:space="preserve">, </w:t>
      </w:r>
      <w:r w:rsidR="000F12E1">
        <w:rPr>
          <w:lang w:val="az-Latn-AZ"/>
        </w:rPr>
        <w:t>daha sonrakı istinadlarla (</w:t>
      </w:r>
      <w:r w:rsidRPr="000F12E1" w:rsidR="000751F8">
        <w:rPr>
          <w:lang w:val="az-Latn-AZ"/>
        </w:rPr>
        <w:t>with further references</w:t>
      </w:r>
      <w:r w:rsidRPr="000F12E1" w:rsidR="000F12E1">
        <w:rPr>
          <w:lang w:val="az-Latn-AZ"/>
        </w:rPr>
        <w:t>)</w:t>
      </w:r>
      <w:r w:rsidRPr="00D43B7C" w:rsidR="00DE33FE">
        <w:rPr>
          <w:lang w:val="az-Latn-AZ"/>
        </w:rPr>
        <w:t>,</w:t>
      </w:r>
      <w:r w:rsidRPr="00D43B7C" w:rsidR="00D82AC3">
        <w:rPr>
          <w:lang w:val="az-Latn-AZ"/>
        </w:rPr>
        <w:t xml:space="preserve"> </w:t>
      </w:r>
      <w:r w:rsidRPr="00D43B7C" w:rsidR="008975D6">
        <w:rPr>
          <w:lang w:val="az-Latn-AZ"/>
        </w:rPr>
        <w:t>və yuxarıda qeyd edilən Sallinen və Digərləri işi (</w:t>
      </w:r>
      <w:r w:rsidRPr="00D43B7C" w:rsidR="00D82AC3">
        <w:rPr>
          <w:i/>
          <w:lang w:val="az-Latn-AZ"/>
        </w:rPr>
        <w:t>Sallinen and Others</w:t>
      </w:r>
      <w:r w:rsidRPr="00D43B7C" w:rsidR="008975D6">
        <w:rPr>
          <w:lang w:val="az-Latn-AZ"/>
        </w:rPr>
        <w:t>)</w:t>
      </w:r>
      <w:r w:rsidRPr="00D43B7C" w:rsidR="003B083D">
        <w:rPr>
          <w:lang w:val="az-Latn-AZ"/>
        </w:rPr>
        <w:t>, § </w:t>
      </w:r>
      <w:r w:rsidRPr="00D43B7C" w:rsidR="00D82AC3">
        <w:rPr>
          <w:lang w:val="az-Latn-AZ"/>
        </w:rPr>
        <w:t>77).</w:t>
      </w:r>
    </w:p>
    <w:p w:rsidR="00E90062" w:rsidRDefault="00D82AC3">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54</w:t>
      </w:r>
      <w:r w:rsidRPr="00D43B7C">
        <w:rPr>
          <w:lang w:val="az-Latn-AZ"/>
        </w:rPr>
        <w:fldChar w:fldCharType="end"/>
      </w:r>
      <w:r w:rsidRPr="00D43B7C">
        <w:rPr>
          <w:lang w:val="az-Latn-AZ"/>
        </w:rPr>
        <w:t>. </w:t>
      </w:r>
      <w:r w:rsidRPr="00D43B7C" w:rsidR="000C39D1">
        <w:rPr>
          <w:lang w:val="az-Latn-AZ"/>
        </w:rPr>
        <w:t>Avstriyanın Cinayət Prose</w:t>
      </w:r>
      <w:r w:rsidR="007737DF">
        <w:rPr>
          <w:lang w:val="az-Latn-AZ"/>
        </w:rPr>
        <w:t>s</w:t>
      </w:r>
      <w:r w:rsidRPr="00D43B7C" w:rsidR="000C39D1">
        <w:rPr>
          <w:lang w:val="az-Latn-AZ"/>
        </w:rPr>
        <w:t xml:space="preserve">sual Məcəlləsi elektron məlumatın axtarışı və müsadirə edilməsinə dair konkret müddəaları özündə əks etdirmir. Buna baxmayaraq, bu Məcəllə əşyaların müsadirə edilməsi və əlavə olaraq sənədlərin müsadirə edilməsinə dair konkret qaydaları müəyyən edir. Daxili məhkəmələrin presedent hüququnda bu müddəaların elektron məlumatların axtarışı və müsadirə edilməsinə də şamil edilməsi təcrübəsi mövcuddur (bax: yuxarıda </w:t>
      </w:r>
      <w:r w:rsidRPr="00D43B7C" w:rsidR="00B4175B">
        <w:rPr>
          <w:lang w:val="az-Latn-AZ"/>
        </w:rPr>
        <w:t>34</w:t>
      </w:r>
      <w:r w:rsidR="00B4175B">
        <w:rPr>
          <w:lang w:val="az-Latn-AZ"/>
        </w:rPr>
        <w:t xml:space="preserve">-cü </w:t>
      </w:r>
      <w:r w:rsidRPr="00D43B7C" w:rsidR="000C39D1">
        <w:rPr>
          <w:lang w:val="az-Latn-AZ"/>
        </w:rPr>
        <w:t>bənd). Əslində ərizəçilər şikayət edilən tədbirlərin daxili qanunvericilikdə əsasının olmasını mübahisə</w:t>
      </w:r>
      <w:r w:rsidR="00B4175B">
        <w:rPr>
          <w:lang w:val="az-Latn-AZ"/>
        </w:rPr>
        <w:t>ləndirmirlər</w:t>
      </w:r>
      <w:r w:rsidRPr="00D43B7C" w:rsidR="000C39D1">
        <w:rPr>
          <w:lang w:val="az-Latn-AZ"/>
        </w:rPr>
        <w:t>.</w:t>
      </w:r>
    </w:p>
    <w:p w:rsidRPr="00D43B7C" w:rsidR="00154FB3" w:rsidP="00924A59" w:rsidRDefault="005C7D89">
      <w:pPr>
        <w:pStyle w:val="JuHa0"/>
        <w:outlineLvl w:val="0"/>
        <w:rPr>
          <w:lang w:val="az-Latn-AZ"/>
        </w:rPr>
      </w:pPr>
      <w:r w:rsidRPr="00D43B7C">
        <w:rPr>
          <w:lang w:val="az-Latn-AZ"/>
        </w:rPr>
        <w:t>(</w:t>
      </w:r>
      <w:r w:rsidRPr="00D43B7C" w:rsidR="00436C3A">
        <w:rPr>
          <w:lang w:val="az-Latn-AZ"/>
        </w:rPr>
        <w:t>b</w:t>
      </w:r>
      <w:r w:rsidRPr="00D43B7C">
        <w:rPr>
          <w:lang w:val="az-Latn-AZ"/>
        </w:rPr>
        <w:t>)</w:t>
      </w:r>
      <w:r w:rsidRPr="00D43B7C" w:rsidR="00436C3A">
        <w:rPr>
          <w:lang w:val="az-Latn-AZ"/>
        </w:rPr>
        <w:t> </w:t>
      </w:r>
      <w:r w:rsidRPr="00D43B7C" w:rsidR="000C39D1">
        <w:rPr>
          <w:lang w:val="az-Latn-AZ"/>
        </w:rPr>
        <w:t>Legitim məqsəd</w:t>
      </w:r>
    </w:p>
    <w:p w:rsidRPr="00D43B7C" w:rsidR="000C39D1" w:rsidP="00154FB3" w:rsidRDefault="00F34F9D">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55</w:t>
      </w:r>
      <w:r w:rsidRPr="00D43B7C">
        <w:rPr>
          <w:lang w:val="az-Latn-AZ"/>
        </w:rPr>
        <w:fldChar w:fldCharType="end"/>
      </w:r>
      <w:r w:rsidRPr="00D43B7C">
        <w:rPr>
          <w:lang w:val="az-Latn-AZ"/>
        </w:rPr>
        <w:t>. </w:t>
      </w:r>
      <w:r w:rsidRPr="00D43B7C" w:rsidR="000C39D1">
        <w:rPr>
          <w:lang w:val="az-Latn-AZ"/>
        </w:rPr>
        <w:t>Məhkəmə axtarış və müsadirənin dərman vasitələrinin qanunsuz ticarətində şübhəli bilinən üçüncü şəxslərə qarşı cinayət işi kontekstində əmr edildiyini müşahidə edir. Buna görə o, legitim məqsədə, konkret olaraq, cinayətin qarşısını almağa xidmət edirdi</w:t>
      </w:r>
      <w:r w:rsidRPr="00D43B7C" w:rsidR="00124F56">
        <w:rPr>
          <w:lang w:val="az-Latn-AZ"/>
        </w:rPr>
        <w:t>.</w:t>
      </w:r>
    </w:p>
    <w:p w:rsidRPr="00D43B7C" w:rsidR="00154FB3" w:rsidP="00924A59" w:rsidRDefault="005C7D89">
      <w:pPr>
        <w:pStyle w:val="JuHa0"/>
        <w:outlineLvl w:val="0"/>
        <w:rPr>
          <w:lang w:val="az-Latn-AZ"/>
        </w:rPr>
      </w:pPr>
      <w:r w:rsidRPr="00D43B7C">
        <w:rPr>
          <w:lang w:val="az-Latn-AZ"/>
        </w:rPr>
        <w:t>(</w:t>
      </w:r>
      <w:r w:rsidRPr="00D43B7C" w:rsidR="00436C3A">
        <w:rPr>
          <w:lang w:val="az-Latn-AZ"/>
        </w:rPr>
        <w:t>c</w:t>
      </w:r>
      <w:r w:rsidRPr="00D43B7C">
        <w:rPr>
          <w:lang w:val="az-Latn-AZ"/>
        </w:rPr>
        <w:t>)</w:t>
      </w:r>
      <w:r w:rsidRPr="00D43B7C" w:rsidR="00436C3A">
        <w:rPr>
          <w:lang w:val="az-Latn-AZ"/>
        </w:rPr>
        <w:t> </w:t>
      </w:r>
      <w:r w:rsidRPr="00D43B7C" w:rsidR="000C39D1">
        <w:rPr>
          <w:lang w:val="az-Latn-AZ"/>
        </w:rPr>
        <w:t>Demokratik c</w:t>
      </w:r>
      <w:r w:rsidR="00866FCC">
        <w:rPr>
          <w:lang w:val="az-Latn-AZ"/>
        </w:rPr>
        <w:t>əmiyyətdə zəruri sayılma</w:t>
      </w:r>
      <w:r w:rsidR="007737DF">
        <w:rPr>
          <w:lang w:val="az-Latn-AZ"/>
        </w:rPr>
        <w:t xml:space="preserve"> məsələsi</w:t>
      </w:r>
    </w:p>
    <w:p w:rsidR="00A77C80" w:rsidP="00154FB3" w:rsidRDefault="00F34F9D">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56</w:t>
      </w:r>
      <w:r w:rsidRPr="00D43B7C">
        <w:rPr>
          <w:lang w:val="az-Latn-AZ"/>
        </w:rPr>
        <w:fldChar w:fldCharType="end"/>
      </w:r>
      <w:r w:rsidRPr="00D43B7C">
        <w:rPr>
          <w:lang w:val="az-Latn-AZ"/>
        </w:rPr>
        <w:t>. </w:t>
      </w:r>
      <w:r w:rsidRPr="00D43B7C" w:rsidR="000C39D1">
        <w:rPr>
          <w:lang w:val="az-Latn-AZ"/>
        </w:rPr>
        <w:t>Tərəflərin arqumentl</w:t>
      </w:r>
      <w:r w:rsidR="00CC49D6">
        <w:rPr>
          <w:lang w:val="az-Latn-AZ"/>
        </w:rPr>
        <w:t>əri müdaxilənin zəruriliyinə və</w:t>
      </w:r>
      <w:r w:rsidRPr="00D43B7C" w:rsidR="000C39D1">
        <w:rPr>
          <w:lang w:val="az-Latn-AZ"/>
        </w:rPr>
        <w:t xml:space="preserve"> konkret olaraq, görülən tədbirlərin legitim məqsədə</w:t>
      </w:r>
      <w:r w:rsidRPr="00D43B7C">
        <w:rPr>
          <w:lang w:val="az-Latn-AZ"/>
        </w:rPr>
        <w:t> </w:t>
      </w:r>
      <w:r w:rsidRPr="00D43B7C" w:rsidR="000C39D1">
        <w:rPr>
          <w:lang w:val="az-Latn-AZ"/>
        </w:rPr>
        <w:t>mütənasib olub-olmaması sualına və Cinayət Prosessual Məcəlləsinin təmin etdiyi pro</w:t>
      </w:r>
      <w:r w:rsidRPr="00D43B7C" w:rsidR="00237EE4">
        <w:rPr>
          <w:lang w:val="az-Latn-AZ"/>
        </w:rPr>
        <w:t>s</w:t>
      </w:r>
      <w:r w:rsidR="00CC49D6">
        <w:rPr>
          <w:lang w:val="az-Latn-AZ"/>
        </w:rPr>
        <w:t>edur</w:t>
      </w:r>
      <w:r w:rsidRPr="00D43B7C" w:rsidR="000C39D1">
        <w:rPr>
          <w:lang w:val="az-Latn-AZ"/>
        </w:rPr>
        <w:t xml:space="preserve"> təminatlarına lazımı qaydada riayət edilib-edilməməsinə əsaslanırdı.</w:t>
      </w:r>
    </w:p>
    <w:p w:rsidR="00A77C80" w:rsidP="00154FB3" w:rsidRDefault="00C51BE2">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57</w:t>
      </w:r>
      <w:r w:rsidRPr="00D43B7C">
        <w:rPr>
          <w:lang w:val="az-Latn-AZ"/>
        </w:rPr>
        <w:fldChar w:fldCharType="end"/>
      </w:r>
      <w:r w:rsidRPr="00D43B7C">
        <w:rPr>
          <w:lang w:val="az-Latn-AZ"/>
        </w:rPr>
        <w:t>. </w:t>
      </w:r>
      <w:r w:rsidRPr="00D43B7C" w:rsidR="00BB7CF7">
        <w:rPr>
          <w:lang w:val="az-Latn-AZ"/>
        </w:rPr>
        <w:t>Oxşar işlərdə Məhkəmə milli qanunlarda və təcrübədə hər-hansı s</w:t>
      </w:r>
      <w:r w:rsidR="007737DF">
        <w:rPr>
          <w:lang w:val="az-Latn-AZ"/>
        </w:rPr>
        <w:t>u</w:t>
      </w:r>
      <w:r w:rsidR="003B167B">
        <w:rPr>
          <w:lang w:val="az-Latn-AZ"/>
        </w:rPr>
        <w:t>i-istifadəyə və ə</w:t>
      </w:r>
      <w:r w:rsidRPr="00D43B7C" w:rsidR="00BB7CF7">
        <w:rPr>
          <w:lang w:val="az-Latn-AZ"/>
        </w:rPr>
        <w:t>sa</w:t>
      </w:r>
      <w:r w:rsidR="003B167B">
        <w:rPr>
          <w:lang w:val="az-Latn-AZ"/>
        </w:rPr>
        <w:t>s</w:t>
      </w:r>
      <w:r w:rsidRPr="00D43B7C" w:rsidR="00BB7CF7">
        <w:rPr>
          <w:lang w:val="az-Latn-AZ"/>
        </w:rPr>
        <w:t>sızlığa</w:t>
      </w:r>
      <w:r w:rsidRPr="00D43B7C">
        <w:rPr>
          <w:lang w:val="az-Latn-AZ"/>
        </w:rPr>
        <w:t> </w:t>
      </w:r>
      <w:r w:rsidRPr="00D43B7C" w:rsidR="00BB7CF7">
        <w:rPr>
          <w:lang w:val="az-Latn-AZ"/>
        </w:rPr>
        <w:t>qarşı adekvat və səmərəli təminatların olub-olma</w:t>
      </w:r>
      <w:r w:rsidR="007737DF">
        <w:rPr>
          <w:lang w:val="az-Latn-AZ"/>
        </w:rPr>
        <w:t>ma</w:t>
      </w:r>
      <w:r w:rsidRPr="00D43B7C" w:rsidR="00BB7CF7">
        <w:rPr>
          <w:lang w:val="az-Latn-AZ"/>
        </w:rPr>
        <w:t>sını araşdırmışdır (bax: misal üçün, yuxarıda qeyd edilən Sosiete Kolas Est və Digərləri işi (</w:t>
      </w:r>
      <w:r w:rsidRPr="00D43B7C" w:rsidR="00BB7CF7">
        <w:rPr>
          <w:i/>
          <w:lang w:val="az-Latn-AZ"/>
        </w:rPr>
        <w:t>Société Colas Est and Others</w:t>
      </w:r>
      <w:r w:rsidRPr="00D43B7C" w:rsidR="00BB7CF7">
        <w:rPr>
          <w:lang w:val="az-Latn-AZ"/>
        </w:rPr>
        <w:t>)</w:t>
      </w:r>
      <w:r w:rsidRPr="00D43B7C">
        <w:rPr>
          <w:lang w:val="az-Latn-AZ"/>
        </w:rPr>
        <w:t xml:space="preserve">, </w:t>
      </w:r>
      <w:r w:rsidRPr="00D43B7C" w:rsidR="003E3D41">
        <w:rPr>
          <w:lang w:val="az-Latn-AZ"/>
        </w:rPr>
        <w:t>§ 48</w:t>
      </w:r>
      <w:r w:rsidRPr="00D43B7C">
        <w:rPr>
          <w:lang w:val="az-Latn-AZ"/>
        </w:rPr>
        <w:t xml:space="preserve">). </w:t>
      </w:r>
      <w:r w:rsidRPr="00D43B7C" w:rsidR="00BB7CF7">
        <w:rPr>
          <w:lang w:val="az-Latn-AZ"/>
        </w:rPr>
        <w:t xml:space="preserve">Nəzərə alınan konkret </w:t>
      </w:r>
      <w:r w:rsidR="007737DF">
        <w:rPr>
          <w:lang w:val="az-Latn-AZ"/>
        </w:rPr>
        <w:t>meyarlar</w:t>
      </w:r>
      <w:r w:rsidRPr="00D43B7C" w:rsidR="00BB7CF7">
        <w:rPr>
          <w:lang w:val="az-Latn-AZ"/>
        </w:rPr>
        <w:t xml:space="preserve"> axtarışın hakim tərəfindən imzalanan orderə</w:t>
      </w:r>
      <w:r w:rsidRPr="00D43B7C" w:rsidR="00FB12ED">
        <w:rPr>
          <w:lang w:val="az-Latn-AZ"/>
        </w:rPr>
        <w:t xml:space="preserve"> və ağlabatan şübhəyə</w:t>
      </w:r>
      <w:r w:rsidRPr="00D43B7C" w:rsidR="00BB7CF7">
        <w:rPr>
          <w:lang w:val="az-Latn-AZ"/>
        </w:rPr>
        <w:t xml:space="preserve"> əsaslanıb-əsaslanma</w:t>
      </w:r>
      <w:r w:rsidR="007737DF">
        <w:rPr>
          <w:lang w:val="az-Latn-AZ"/>
        </w:rPr>
        <w:t>ma</w:t>
      </w:r>
      <w:r w:rsidRPr="00D43B7C" w:rsidR="00BB7CF7">
        <w:rPr>
          <w:lang w:val="az-Latn-AZ"/>
        </w:rPr>
        <w:t>sı, orderin hüdudlarının ağlabatan şəkildə dar olub-olma</w:t>
      </w:r>
      <w:r w:rsidR="007737DF">
        <w:rPr>
          <w:lang w:val="az-Latn-AZ"/>
        </w:rPr>
        <w:t>ma</w:t>
      </w:r>
      <w:r w:rsidRPr="00D43B7C" w:rsidR="00BB7CF7">
        <w:rPr>
          <w:lang w:val="az-Latn-AZ"/>
        </w:rPr>
        <w:t xml:space="preserve">sı və vəkilin ofisində axtarış </w:t>
      </w:r>
      <w:r w:rsidRPr="00D43B7C" w:rsidR="00FB12ED">
        <w:rPr>
          <w:lang w:val="az-Latn-AZ"/>
        </w:rPr>
        <w:t>aparıldıqda</w:t>
      </w:r>
      <w:r w:rsidRPr="00D43B7C" w:rsidR="00BB7CF7">
        <w:rPr>
          <w:lang w:val="az-Latn-AZ"/>
        </w:rPr>
        <w:t xml:space="preserve"> peşə sirrinə aid materialların götürülməm</w:t>
      </w:r>
      <w:r w:rsidRPr="00D43B7C" w:rsidR="00FB12ED">
        <w:rPr>
          <w:lang w:val="az-Latn-AZ"/>
        </w:rPr>
        <w:t>ə</w:t>
      </w:r>
      <w:r w:rsidRPr="00D43B7C" w:rsidR="00BB7CF7">
        <w:rPr>
          <w:lang w:val="az-Latn-AZ"/>
        </w:rPr>
        <w:t>sinə əmin olmaq üçün axtarışın müstəqil mü</w:t>
      </w:r>
      <w:r w:rsidRPr="00D43B7C" w:rsidR="00237EE4">
        <w:rPr>
          <w:lang w:val="az-Latn-AZ"/>
        </w:rPr>
        <w:t>ş</w:t>
      </w:r>
      <w:r w:rsidRPr="00D43B7C" w:rsidR="00BB7CF7">
        <w:rPr>
          <w:lang w:val="az-Latn-AZ"/>
        </w:rPr>
        <w:t>ahidəçinin iştirakı ilə keçirilib-keçirilməməsi nəzərə alınır (bax: yuxarıda qeyd edilən Niemec işi, § 37 və yuxarıda qeyd edilən Tamusius iş</w:t>
      </w:r>
      <w:r w:rsidRPr="00D43B7C" w:rsidR="00B039FE">
        <w:rPr>
          <w:lang w:val="az-Latn-AZ"/>
        </w:rPr>
        <w:t>i</w:t>
      </w:r>
      <w:r w:rsidRPr="00D43B7C" w:rsidR="00BB7CF7">
        <w:rPr>
          <w:lang w:val="az-Latn-AZ"/>
        </w:rPr>
        <w:t>)</w:t>
      </w:r>
      <w:r w:rsidRPr="00D43B7C" w:rsidR="00B039FE">
        <w:rPr>
          <w:lang w:val="az-Latn-AZ"/>
        </w:rPr>
        <w:t>.</w:t>
      </w:r>
    </w:p>
    <w:p w:rsidR="00A77C80" w:rsidP="00154FB3" w:rsidRDefault="00C51BE2">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58</w:t>
      </w:r>
      <w:r w:rsidRPr="00D43B7C">
        <w:rPr>
          <w:lang w:val="az-Latn-AZ"/>
        </w:rPr>
        <w:fldChar w:fldCharType="end"/>
      </w:r>
      <w:r w:rsidRPr="00D43B7C">
        <w:rPr>
          <w:lang w:val="az-Latn-AZ"/>
        </w:rPr>
        <w:t>. </w:t>
      </w:r>
      <w:r w:rsidR="00D73B0E">
        <w:rPr>
          <w:lang w:val="az-Latn-AZ"/>
        </w:rPr>
        <w:t>Hazırkı işdə ərizəçilərin kompü</w:t>
      </w:r>
      <w:r w:rsidRPr="00D43B7C" w:rsidR="00204B09">
        <w:rPr>
          <w:lang w:val="az-Latn-AZ"/>
        </w:rPr>
        <w:t xml:space="preserve">ter sisteminin axtarışı </w:t>
      </w:r>
      <w:r w:rsidR="008B198B">
        <w:rPr>
          <w:lang w:val="az-Latn-AZ"/>
        </w:rPr>
        <w:t>araşdırmanı</w:t>
      </w:r>
      <w:r w:rsidRPr="00D43B7C" w:rsidR="00204B09">
        <w:rPr>
          <w:lang w:val="az-Latn-AZ"/>
        </w:rPr>
        <w:t xml:space="preserve"> aparan hakimin imzaladığı order əsasında bir sıra şirkət və şəxslərə qarşı dərman vəsaitlərinin qanunsuz ticarət</w:t>
      </w:r>
      <w:r w:rsidR="007737DF">
        <w:rPr>
          <w:lang w:val="az-Latn-AZ"/>
        </w:rPr>
        <w:t>i</w:t>
      </w:r>
      <w:r w:rsidRPr="00D43B7C" w:rsidR="00204B09">
        <w:rPr>
          <w:lang w:val="az-Latn-AZ"/>
        </w:rPr>
        <w:t xml:space="preserve"> işi üzrə cinayət mühakiməsi aparan İtalyan rəsmilərinə hüquqi yardım kontekstində aparılmışdı. Axtarış 100% ərizəçi şirkətə mənsub olan Novamed şirkətinə ünvanlanan </w:t>
      </w:r>
      <w:r w:rsidR="00BB6608">
        <w:rPr>
          <w:lang w:val="az-Latn-AZ"/>
        </w:rPr>
        <w:t>hesab-fakturaların</w:t>
      </w:r>
      <w:r w:rsidRPr="00D43B7C" w:rsidR="00204B09">
        <w:rPr>
          <w:lang w:val="az-Latn-AZ"/>
        </w:rPr>
        <w:t xml:space="preserve"> tapılmasına arxalanırdı. Belə olan təqdirdə Məhkəmə axtarış orderinin ağlabatan şübhəyə əsaslandığını qəbul edir.</w:t>
      </w:r>
    </w:p>
    <w:p w:rsidR="00E90062" w:rsidP="00B05BE4" w:rsidRDefault="00E24B32">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59</w:t>
      </w:r>
      <w:r w:rsidRPr="00D43B7C">
        <w:rPr>
          <w:lang w:val="az-Latn-AZ"/>
        </w:rPr>
        <w:fldChar w:fldCharType="end"/>
      </w:r>
      <w:r w:rsidRPr="00D43B7C">
        <w:rPr>
          <w:lang w:val="az-Latn-AZ"/>
        </w:rPr>
        <w:t>. </w:t>
      </w:r>
      <w:r w:rsidRPr="00D43B7C" w:rsidR="00204B09">
        <w:rPr>
          <w:lang w:val="az-Latn-AZ"/>
        </w:rPr>
        <w:t>Məhkəmə</w:t>
      </w:r>
      <w:r w:rsidR="007737DF">
        <w:rPr>
          <w:lang w:val="az-Latn-AZ"/>
        </w:rPr>
        <w:t>,</w:t>
      </w:r>
      <w:r w:rsidRPr="00D43B7C" w:rsidR="00204B09">
        <w:rPr>
          <w:lang w:val="az-Latn-AZ"/>
        </w:rPr>
        <w:t xml:space="preserve"> həmçinin</w:t>
      </w:r>
      <w:r w:rsidR="007737DF">
        <w:rPr>
          <w:lang w:val="az-Latn-AZ"/>
        </w:rPr>
        <w:t>,</w:t>
      </w:r>
      <w:r w:rsidRPr="00D43B7C" w:rsidR="00204B09">
        <w:rPr>
          <w:lang w:val="az-Latn-AZ"/>
        </w:rPr>
        <w:t xml:space="preserve"> axtarış orderinin axtarılan sənəd və ya məlumatları</w:t>
      </w:r>
      <w:r w:rsidRPr="00D43B7C" w:rsidR="000C4DE3">
        <w:rPr>
          <w:lang w:val="az-Latn-AZ"/>
        </w:rPr>
        <w:t xml:space="preserve"> İtaliyada icraatı aparılan işdə olan şübhəli şəxslər ilə əlaqələri ortaya çıxaran rəsmi sənədlər kimi təsvir edərək</w:t>
      </w:r>
      <w:r w:rsidRPr="00D43B7C" w:rsidR="006B2887">
        <w:rPr>
          <w:lang w:val="az-Latn-AZ"/>
        </w:rPr>
        <w:t xml:space="preserve"> onları</w:t>
      </w:r>
      <w:r w:rsidRPr="00D43B7C" w:rsidR="00204B09">
        <w:rPr>
          <w:lang w:val="az-Latn-AZ"/>
        </w:rPr>
        <w:t xml:space="preserve"> ağlabatan şəkildə məhdudlaşdırdığını müəyyən edir. </w:t>
      </w:r>
      <w:r w:rsidRPr="00D43B7C" w:rsidR="006B2887">
        <w:rPr>
          <w:lang w:val="az-Latn-AZ"/>
        </w:rPr>
        <w:t>Axtarış bu hüdudlardan çıxmamışdır, çünki</w:t>
      </w:r>
      <w:r w:rsidRPr="00D43B7C" w:rsidR="00204B09">
        <w:rPr>
          <w:lang w:val="az-Latn-AZ"/>
        </w:rPr>
        <w:t xml:space="preserve"> </w:t>
      </w:r>
      <w:r w:rsidRPr="00D43B7C" w:rsidR="006B2887">
        <w:rPr>
          <w:lang w:val="az-Latn-AZ"/>
        </w:rPr>
        <w:t>zabitlər Novamed və ya Bikos, yaxud da şübhəli şəxslərin adlarını əks etdirən sənədləri və ya məlumatları axtarırdılar.</w:t>
      </w:r>
    </w:p>
    <w:p w:rsidRPr="00D43B7C" w:rsidR="006B2887" w:rsidP="00B05BE4" w:rsidRDefault="00B05BE4">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60</w:t>
      </w:r>
      <w:r w:rsidRPr="00D43B7C">
        <w:rPr>
          <w:lang w:val="az-Latn-AZ"/>
        </w:rPr>
        <w:fldChar w:fldCharType="end"/>
      </w:r>
      <w:r w:rsidRPr="00D43B7C">
        <w:rPr>
          <w:lang w:val="az-Latn-AZ"/>
        </w:rPr>
        <w:t>. </w:t>
      </w:r>
      <w:r w:rsidRPr="00D43B7C" w:rsidR="006B2887">
        <w:rPr>
          <w:lang w:val="az-Latn-AZ"/>
        </w:rPr>
        <w:t>Bundan başqa</w:t>
      </w:r>
      <w:r w:rsidR="007737DF">
        <w:rPr>
          <w:lang w:val="az-Latn-AZ"/>
        </w:rPr>
        <w:t>,</w:t>
      </w:r>
      <w:r w:rsidRPr="00D43B7C" w:rsidR="006B2887">
        <w:rPr>
          <w:lang w:val="az-Latn-AZ"/>
        </w:rPr>
        <w:t xml:space="preserve"> Cinayət Prosessual Məcəlləsi sənədlərin və elektron məlumatların müsadirə edilməsinə dair əlavə prosedural təminatlar da nəzərdə tutur. Məhkəmə Məcəllənin aşağıdakı müddəalarına diqqət yetirir:</w:t>
      </w:r>
    </w:p>
    <w:p w:rsidRPr="00D43B7C" w:rsidR="000852BE" w:rsidP="00B05BE4" w:rsidRDefault="005C7D89">
      <w:pPr>
        <w:pStyle w:val="JuPara"/>
        <w:rPr>
          <w:lang w:val="az-Latn-AZ"/>
        </w:rPr>
      </w:pPr>
      <w:r w:rsidRPr="00D43B7C">
        <w:rPr>
          <w:lang w:val="az-Latn-AZ"/>
        </w:rPr>
        <w:t>(a) </w:t>
      </w:r>
      <w:r w:rsidRPr="00D43B7C" w:rsidR="000852BE">
        <w:rPr>
          <w:lang w:val="az-Latn-AZ"/>
        </w:rPr>
        <w:t>axtarış aparılan ofisin icarəçisi</w:t>
      </w:r>
      <w:r w:rsidRPr="00D43B7C">
        <w:rPr>
          <w:lang w:val="az-Latn-AZ"/>
        </w:rPr>
        <w:t> </w:t>
      </w:r>
      <w:r w:rsidR="00114F88">
        <w:rPr>
          <w:lang w:val="az-Latn-AZ"/>
        </w:rPr>
        <w:t xml:space="preserve">(sakini) </w:t>
      </w:r>
      <w:r w:rsidRPr="00D43B7C" w:rsidR="000852BE">
        <w:rPr>
          <w:lang w:val="az-Latn-AZ"/>
        </w:rPr>
        <w:t>iştirak etməlidir;</w:t>
      </w:r>
    </w:p>
    <w:p w:rsidRPr="00D43B7C" w:rsidR="000852BE" w:rsidP="000852BE" w:rsidRDefault="003B083D">
      <w:pPr>
        <w:pStyle w:val="JuPara"/>
        <w:rPr>
          <w:lang w:val="az-Latn-AZ"/>
        </w:rPr>
      </w:pPr>
      <w:r w:rsidRPr="00D43B7C">
        <w:rPr>
          <w:lang w:val="az-Latn-AZ"/>
        </w:rPr>
        <w:t>(b) </w:t>
      </w:r>
      <w:r w:rsidRPr="00D43B7C" w:rsidR="000852BE">
        <w:rPr>
          <w:lang w:val="az-Latn-AZ"/>
        </w:rPr>
        <w:t>axtarışın sonunda protokol tərtib edilməlidir və müsadirə olunan əşyalar sadalanmalıdır;</w:t>
      </w:r>
    </w:p>
    <w:p w:rsidRPr="00D43B7C" w:rsidR="00B05BE4" w:rsidP="00B05BE4" w:rsidRDefault="003B083D">
      <w:pPr>
        <w:pStyle w:val="JuPara"/>
        <w:rPr>
          <w:lang w:val="az-Latn-AZ"/>
        </w:rPr>
      </w:pPr>
      <w:r w:rsidRPr="00D43B7C">
        <w:rPr>
          <w:lang w:val="az-Latn-AZ"/>
        </w:rPr>
        <w:t>(c) </w:t>
      </w:r>
      <w:r w:rsidRPr="00D43B7C" w:rsidR="006D39CA">
        <w:rPr>
          <w:lang w:val="az-Latn-AZ"/>
        </w:rPr>
        <w:t>əgər sahib sənədlərin və ya məlumat daşıyıcılarının müsadirə olunmasına etiraz edirsə</w:t>
      </w:r>
      <w:r w:rsidR="007737DF">
        <w:rPr>
          <w:lang w:val="az-Latn-AZ"/>
        </w:rPr>
        <w:t>,</w:t>
      </w:r>
      <w:r w:rsidRPr="00D43B7C" w:rsidR="006D39CA">
        <w:rPr>
          <w:lang w:val="az-Latn-AZ"/>
        </w:rPr>
        <w:t xml:space="preserve"> onlar möhürlənməli və onların istintaqa cəlb edilb-edilməməsinə dair qərarın verilməsi üçün hakimə təqdim edilməlidir</w:t>
      </w:r>
      <w:r w:rsidRPr="00D43B7C" w:rsidR="00B05BE4">
        <w:rPr>
          <w:lang w:val="az-Latn-AZ"/>
        </w:rPr>
        <w:t>;</w:t>
      </w:r>
      <w:r w:rsidRPr="00D43B7C" w:rsidR="005C7D89">
        <w:rPr>
          <w:lang w:val="az-Latn-AZ"/>
        </w:rPr>
        <w:t xml:space="preserve"> </w:t>
      </w:r>
      <w:r w:rsidRPr="00D43B7C" w:rsidR="006D39CA">
        <w:rPr>
          <w:lang w:val="az-Latn-AZ"/>
        </w:rPr>
        <w:t>və</w:t>
      </w:r>
    </w:p>
    <w:p w:rsidRPr="00D43B7C" w:rsidR="006D39CA" w:rsidP="00B05BE4" w:rsidRDefault="003B083D">
      <w:pPr>
        <w:pStyle w:val="JuPara"/>
        <w:rPr>
          <w:lang w:val="az-Latn-AZ"/>
        </w:rPr>
      </w:pPr>
      <w:r w:rsidRPr="00D43B7C">
        <w:rPr>
          <w:lang w:val="az-Latn-AZ"/>
        </w:rPr>
        <w:t>(d) </w:t>
      </w:r>
      <w:r w:rsidRPr="00D43B7C" w:rsidR="006D39CA">
        <w:rPr>
          <w:lang w:val="az-Latn-AZ"/>
        </w:rPr>
        <w:t>əlavə olaraq</w:t>
      </w:r>
      <w:r w:rsidR="007737DF">
        <w:rPr>
          <w:lang w:val="az-Latn-AZ"/>
        </w:rPr>
        <w:t>,</w:t>
      </w:r>
      <w:r w:rsidRPr="00D43B7C" w:rsidR="006D39CA">
        <w:rPr>
          <w:lang w:val="az-Latn-AZ"/>
        </w:rPr>
        <w:t xml:space="preserve"> vəkilin ofisində aparılan axtarış üçün Vəkillər Kollegiyasının nümayəndəsinin iştirak etməsi tələb olunur.</w:t>
      </w:r>
    </w:p>
    <w:p w:rsidR="00A77C80" w:rsidP="00B05BE4" w:rsidRDefault="004614EF">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61</w:t>
      </w:r>
      <w:r w:rsidRPr="00D43B7C">
        <w:rPr>
          <w:lang w:val="az-Latn-AZ"/>
        </w:rPr>
        <w:fldChar w:fldCharType="end"/>
      </w:r>
      <w:r w:rsidRPr="00D43B7C">
        <w:rPr>
          <w:lang w:val="az-Latn-AZ"/>
        </w:rPr>
        <w:t>. </w:t>
      </w:r>
      <w:r w:rsidRPr="00D43B7C" w:rsidR="006D39CA">
        <w:rPr>
          <w:lang w:val="az-Latn-AZ"/>
        </w:rPr>
        <w:t>Ərizəçilər Avstriya qanunu ilə nəzərdə tutulan təminatların yetərli olmamasını iddia etmir, lakin bu təminatlara hazırkı işdə məlumatların müsadirə edilməsi zaman riayət edilmədiyini bildirir. Məhkəmə ərizəçilərin ofisində axtarışın çox sayda zabitlərin həyata keçirdiyini qeyd edir. Bir qrup sənədlərin müsadirəsi ilə məşğul olmuş, digər qrup isə müəyyən axtarış meyarları istifadə etməklə kompyüter sistemində axtarış aparmış və məlumatları müsadirə edib çoxsaylı faylları disklərə</w:t>
      </w:r>
      <w:r w:rsidRPr="00D43B7C">
        <w:rPr>
          <w:lang w:val="az-Latn-AZ"/>
        </w:rPr>
        <w:t> </w:t>
      </w:r>
      <w:r w:rsidRPr="00D43B7C" w:rsidR="006D39CA">
        <w:rPr>
          <w:lang w:val="az-Latn-AZ"/>
        </w:rPr>
        <w:t>köçürmüşdür.</w:t>
      </w:r>
    </w:p>
    <w:p w:rsidR="00A77C80" w:rsidP="00B05BE4" w:rsidRDefault="004614EF">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62</w:t>
      </w:r>
      <w:r w:rsidRPr="00D43B7C">
        <w:rPr>
          <w:lang w:val="az-Latn-AZ"/>
        </w:rPr>
        <w:fldChar w:fldCharType="end"/>
      </w:r>
      <w:r w:rsidRPr="00D43B7C">
        <w:rPr>
          <w:lang w:val="az-Latn-AZ"/>
        </w:rPr>
        <w:t>. </w:t>
      </w:r>
      <w:r w:rsidRPr="00D43B7C" w:rsidR="006D39CA">
        <w:rPr>
          <w:lang w:val="az-Latn-AZ"/>
        </w:rPr>
        <w:t>Məhkəmə sənədlərin müsadirəsinə dair yuxarıda qeyd edilən təminatlara tam riayət edildiyini müşahidə edir: Vəkillər Kollegiyasının nümayəndəsinin hər-hansı sənədin müsadirə edilməsinə etiraz etdiyi zaman həmin sənəd möhürlənib zərfə qoyulurdu. Bir neçə gün sonra</w:t>
      </w:r>
      <w:r w:rsidRPr="00D43B7C">
        <w:rPr>
          <w:lang w:val="az-Latn-AZ"/>
        </w:rPr>
        <w:t> </w:t>
      </w:r>
      <w:r w:rsidR="00114F88">
        <w:rPr>
          <w:lang w:val="az-Latn-AZ"/>
        </w:rPr>
        <w:t>araşdırma</w:t>
      </w:r>
      <w:r w:rsidRPr="00D43B7C" w:rsidR="006D39CA">
        <w:rPr>
          <w:lang w:val="az-Latn-AZ"/>
        </w:rPr>
        <w:t xml:space="preserve"> aparan hakim ərizəçinin iştirakı ilə hansı faylların peşə sirri təşkil etdiyinə dair qərar qəbul etmiş və bu əsasla bir sıra sənədləri ərizəçiyə geri qaytarmışdır. Əslində ərizəçilər bundan şikayət etmirdilər.</w:t>
      </w:r>
    </w:p>
    <w:p w:rsidR="00A77C80" w:rsidP="00B05BE4" w:rsidRDefault="004614EF">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63</w:t>
      </w:r>
      <w:r w:rsidRPr="00D43B7C">
        <w:rPr>
          <w:lang w:val="az-Latn-AZ"/>
        </w:rPr>
        <w:fldChar w:fldCharType="end"/>
      </w:r>
      <w:r w:rsidRPr="00D43B7C">
        <w:rPr>
          <w:lang w:val="az-Latn-AZ"/>
        </w:rPr>
        <w:t>. </w:t>
      </w:r>
      <w:r w:rsidRPr="00D43B7C" w:rsidR="001278BD">
        <w:rPr>
          <w:lang w:val="az-Latn-AZ"/>
        </w:rPr>
        <w:t>Təə</w:t>
      </w:r>
      <w:r w:rsidRPr="00D43B7C" w:rsidR="00237EE4">
        <w:rPr>
          <w:lang w:val="az-Latn-AZ"/>
        </w:rPr>
        <w:t>c</w:t>
      </w:r>
      <w:r w:rsidRPr="00D43B7C" w:rsidR="001278BD">
        <w:rPr>
          <w:lang w:val="az-Latn-AZ"/>
        </w:rPr>
        <w:t>cüblüdür ki, hazırkı işdə eyni təminatlara elektron məlumatlar üçün riayət edilməmişdir. Bir sıra faktorlar göstərir ki, bu məsələyə dair ərizəçilərin hüquqlarının həyata keçirilməsi məhdudlaşdırılmışdır. Birincisi, baxmayaraq ki, Və</w:t>
      </w:r>
      <w:r w:rsidR="00495C89">
        <w:rPr>
          <w:lang w:val="az-Latn-AZ"/>
        </w:rPr>
        <w:t>killər Kollegiyasının üzvü komp</w:t>
      </w:r>
      <w:r w:rsidRPr="00D43B7C" w:rsidR="001278BD">
        <w:rPr>
          <w:lang w:val="az-Latn-AZ"/>
        </w:rPr>
        <w:t>üterdə aparılan axtarışda müvəqqəti olaraq iştirak etmişdi, o, əsasən sənədlərin müsadirə olunmasına nəzarət etmək ilə məşğul idi və elektron məlumatlara nəzarət etmək funksiyasını lazımı qaydada yerinə yetirə bilməzdi. İkincisi, tətbiq edilən axtarış meyarlarını və köçürülən və müsadirə edilən faylları sadalayan protokol axtarışın sonunda deyil, yalnız həmin gün sonradan tərtib edilmişdir. Bundan başqa, zabitlər g</w:t>
      </w:r>
      <w:r w:rsidRPr="00D43B7C" w:rsidR="00237EE4">
        <w:rPr>
          <w:lang w:val="az-Latn-AZ"/>
        </w:rPr>
        <w:t>ö</w:t>
      </w:r>
      <w:r w:rsidRPr="00D43B7C" w:rsidR="001278BD">
        <w:rPr>
          <w:lang w:val="az-Latn-AZ"/>
        </w:rPr>
        <w:t>ründüyü kimi işlərini qurtardıqdan sonra getmiş və birinci ərizəçini və ya Vəkillər Kollegiyasının nümayəndəsini axtarışın nəticələri barədə məlumatlandırmamışdılar.</w:t>
      </w:r>
    </w:p>
    <w:p w:rsidR="00A77C80" w:rsidP="00B05BE4" w:rsidRDefault="004614EF">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64</w:t>
      </w:r>
      <w:r w:rsidRPr="00D43B7C">
        <w:rPr>
          <w:lang w:val="az-Latn-AZ"/>
        </w:rPr>
        <w:fldChar w:fldCharType="end"/>
      </w:r>
      <w:r w:rsidRPr="00D43B7C">
        <w:rPr>
          <w:lang w:val="az-Latn-AZ"/>
        </w:rPr>
        <w:t>. </w:t>
      </w:r>
      <w:r w:rsidRPr="00D43B7C" w:rsidR="001278BD">
        <w:rPr>
          <w:lang w:val="az-Latn-AZ"/>
        </w:rPr>
        <w:t xml:space="preserve">Doğrudur ki, birinci ərizəçi </w:t>
      </w:r>
      <w:r w:rsidRPr="00D43B7C" w:rsidR="00C23A1C">
        <w:rPr>
          <w:lang w:val="az-Latn-AZ"/>
        </w:rPr>
        <w:t xml:space="preserve">ümumi qaydada </w:t>
      </w:r>
      <w:r w:rsidRPr="00D43B7C" w:rsidR="001278BD">
        <w:rPr>
          <w:lang w:val="az-Latn-AZ"/>
        </w:rPr>
        <w:t>axtarışın əvvəlində məlumatların köçürüldüyü disklərin zərfə qoyulmasını və istintaqı aparan hakimə təqdim edilməsini xahiş edə bilər</w:t>
      </w:r>
      <w:r w:rsidRPr="00D43B7C" w:rsidR="00C23A1C">
        <w:rPr>
          <w:lang w:val="az-Latn-AZ"/>
        </w:rPr>
        <w:t>di</w:t>
      </w:r>
      <w:r w:rsidRPr="00D43B7C" w:rsidR="001278BD">
        <w:rPr>
          <w:lang w:val="az-Latn-AZ"/>
        </w:rPr>
        <w:t>. Lakin Cinayət Prosessual Məcəlləsinin axtarışın sonunda protokolun tərtib edilməsini</w:t>
      </w:r>
      <w:r w:rsidRPr="00D43B7C" w:rsidR="000454F9">
        <w:rPr>
          <w:lang w:val="az-Latn-AZ"/>
        </w:rPr>
        <w:t xml:space="preserve"> və müsadirə olunmuş əşyaları sadala</w:t>
      </w:r>
      <w:r w:rsidRPr="00D43B7C" w:rsidR="00C23A1C">
        <w:rPr>
          <w:lang w:val="az-Latn-AZ"/>
        </w:rPr>
        <w:t>nmasını</w:t>
      </w:r>
      <w:r w:rsidRPr="00D43B7C" w:rsidR="001278BD">
        <w:rPr>
          <w:lang w:val="az-Latn-AZ"/>
        </w:rPr>
        <w:t xml:space="preserve"> nəzərdə tutduğu üçün </w:t>
      </w:r>
      <w:r w:rsidRPr="00D43B7C" w:rsidR="000454F9">
        <w:rPr>
          <w:lang w:val="az-Latn-AZ"/>
        </w:rPr>
        <w:t>o, bu prosedura riayət ediləcəyini gö</w:t>
      </w:r>
      <w:r w:rsidRPr="00D43B7C" w:rsidR="00C23A1C">
        <w:rPr>
          <w:lang w:val="az-Latn-AZ"/>
        </w:rPr>
        <w:t>z</w:t>
      </w:r>
      <w:r w:rsidRPr="00D43B7C" w:rsidR="000454F9">
        <w:rPr>
          <w:lang w:val="az-Latn-AZ"/>
        </w:rPr>
        <w:t>ləyə bilərdi. Bu baş vermədiyindən o, öz hüquq</w:t>
      </w:r>
      <w:r w:rsidRPr="00D43B7C" w:rsidR="00C23A1C">
        <w:rPr>
          <w:lang w:val="az-Latn-AZ"/>
        </w:rPr>
        <w:t>ları</w:t>
      </w:r>
      <w:r w:rsidRPr="00D43B7C" w:rsidR="000454F9">
        <w:rPr>
          <w:lang w:val="az-Latn-AZ"/>
        </w:rPr>
        <w:t>ndan səmərəli şəkildə istifadə etmək imkanına malik olmamışdır. Beləliklə</w:t>
      </w:r>
      <w:r w:rsidRPr="00D43B7C" w:rsidR="00C23A1C">
        <w:rPr>
          <w:lang w:val="az-Latn-AZ"/>
        </w:rPr>
        <w:t>,</w:t>
      </w:r>
      <w:r w:rsidRPr="00D43B7C" w:rsidR="000454F9">
        <w:rPr>
          <w:lang w:val="az-Latn-AZ"/>
        </w:rPr>
        <w:t xml:space="preserve"> Hökumətin </w:t>
      </w:r>
      <w:r w:rsidR="00495C89">
        <w:rPr>
          <w:lang w:val="az-Latn-AZ"/>
        </w:rPr>
        <w:t xml:space="preserve">ölkədaxili </w:t>
      </w:r>
      <w:r w:rsidRPr="00D43B7C" w:rsidR="000454F9">
        <w:rPr>
          <w:lang w:val="az-Latn-AZ"/>
        </w:rPr>
        <w:t xml:space="preserve">vasitələrin </w:t>
      </w:r>
      <w:r w:rsidRPr="00EE6609" w:rsidR="000454F9">
        <w:rPr>
          <w:lang w:val="az-Latn-AZ"/>
        </w:rPr>
        <w:t>tükə</w:t>
      </w:r>
      <w:r w:rsidRPr="00EE6609" w:rsidR="00EE6609">
        <w:rPr>
          <w:lang w:val="az-Latn-AZ"/>
        </w:rPr>
        <w:t>n</w:t>
      </w:r>
      <w:r w:rsidRPr="00EE6609" w:rsidR="000454F9">
        <w:rPr>
          <w:lang w:val="az-Latn-AZ"/>
        </w:rPr>
        <w:t>di</w:t>
      </w:r>
      <w:r w:rsidRPr="00EE6609" w:rsidR="00EE6609">
        <w:rPr>
          <w:lang w:val="az-Latn-AZ"/>
        </w:rPr>
        <w:t>r</w:t>
      </w:r>
      <w:r w:rsidR="00495C89">
        <w:rPr>
          <w:lang w:val="az-Latn-AZ"/>
        </w:rPr>
        <w:t>il</w:t>
      </w:r>
      <w:r w:rsidRPr="00EE6609" w:rsidR="000454F9">
        <w:rPr>
          <w:lang w:val="az-Latn-AZ"/>
        </w:rPr>
        <w:t>mədiyinə</w:t>
      </w:r>
      <w:r w:rsidRPr="00D43B7C" w:rsidR="000454F9">
        <w:rPr>
          <w:lang w:val="az-Latn-AZ"/>
        </w:rPr>
        <w:t xml:space="preserve"> dair etirazı rədd edilməlidir.</w:t>
      </w:r>
    </w:p>
    <w:p w:rsidR="00A77C80" w:rsidP="00B05BE4" w:rsidRDefault="004614EF">
      <w:pPr>
        <w:pStyle w:val="JuPara"/>
        <w:rPr>
          <w:lang w:val="az-Latn-AZ"/>
        </w:rPr>
      </w:pPr>
      <w:r w:rsidRPr="00D43B7C">
        <w:rPr>
          <w:lang w:val="az-Latn-AZ"/>
        </w:rPr>
        <w:fldChar w:fldCharType="begin"/>
      </w:r>
      <w:r w:rsidRPr="00D43B7C">
        <w:rPr>
          <w:lang w:val="az-Latn-AZ"/>
        </w:rPr>
        <w:instrText xml:space="preserve"> SEQ level0 \*arabic </w:instrText>
      </w:r>
      <w:r w:rsidRPr="00D43B7C">
        <w:rPr>
          <w:lang w:val="az-Latn-AZ"/>
        </w:rPr>
        <w:fldChar w:fldCharType="separate"/>
      </w:r>
      <w:r w:rsidR="00A25E09">
        <w:rPr>
          <w:noProof/>
          <w:lang w:val="az-Latn-AZ"/>
        </w:rPr>
        <w:t>65</w:t>
      </w:r>
      <w:r w:rsidRPr="00D43B7C">
        <w:rPr>
          <w:lang w:val="az-Latn-AZ"/>
        </w:rPr>
        <w:fldChar w:fldCharType="end"/>
      </w:r>
      <w:r w:rsidRPr="00D43B7C">
        <w:rPr>
          <w:lang w:val="az-Latn-AZ"/>
        </w:rPr>
        <w:t>. </w:t>
      </w:r>
      <w:r w:rsidRPr="00D43B7C" w:rsidR="00C23A1C">
        <w:rPr>
          <w:lang w:val="az-Latn-AZ"/>
        </w:rPr>
        <w:t>Birinci ərizəçiyə gəldikdə</w:t>
      </w:r>
      <w:r w:rsidR="007737DF">
        <w:rPr>
          <w:lang w:val="az-Latn-AZ"/>
        </w:rPr>
        <w:t>,</w:t>
      </w:r>
      <w:r w:rsidRPr="00D43B7C" w:rsidR="00C23A1C">
        <w:rPr>
          <w:lang w:val="az-Latn-AZ"/>
        </w:rPr>
        <w:t> axtarışın aparılmasının belə tərzi onun peşə sirrini qorumaq hüququnun pozulması riski ilə toqquşurdu. Məhkəmə bu riskə xüsusi önəm verir, çünki bu risk ədalət mühakiməsinin lazımı qaydada icraatına təsir göstərə bilər</w:t>
      </w:r>
      <w:r w:rsidRPr="00D43B7C" w:rsidR="00B05BE4">
        <w:rPr>
          <w:lang w:val="az-Latn-AZ"/>
        </w:rPr>
        <w:t xml:space="preserve"> (</w:t>
      </w:r>
      <w:r w:rsidRPr="00D43B7C" w:rsidR="00C23A1C">
        <w:rPr>
          <w:lang w:val="az-Latn-AZ"/>
        </w:rPr>
        <w:t>bax: yuxarıda qeyd edilən Nimec işi</w:t>
      </w:r>
      <w:r w:rsidRPr="00D43B7C" w:rsidR="003B083D">
        <w:rPr>
          <w:lang w:val="az-Latn-AZ"/>
        </w:rPr>
        <w:t xml:space="preserve">, </w:t>
      </w:r>
      <w:r w:rsidRPr="00D43B7C" w:rsidR="00B05BE4">
        <w:rPr>
          <w:lang w:val="az-Latn-AZ"/>
        </w:rPr>
        <w:t xml:space="preserve">§ 37). </w:t>
      </w:r>
      <w:r w:rsidRPr="00D43B7C" w:rsidR="00A240C7">
        <w:rPr>
          <w:lang w:val="az-Latn-AZ"/>
        </w:rPr>
        <w:t>Dövlət orqanları və Hökumət birinci ərizəçinin ərizəçi şirkətin nümayəndəsi olmadığını və müsadirə olunan məlumatın vəkil-müştəri münasibətlərinə aid olmadığını iddia edirdi. Doğrudur ki, birinci ərizəçi Məhkəmə qarşısında dediyi arqumentlərə əks olaraq</w:t>
      </w:r>
      <w:r w:rsidR="007737DF">
        <w:rPr>
          <w:lang w:val="az-Latn-AZ"/>
        </w:rPr>
        <w:t>,</w:t>
      </w:r>
      <w:r w:rsidRPr="00D43B7C" w:rsidR="00A240C7">
        <w:rPr>
          <w:lang w:val="az-Latn-AZ"/>
        </w:rPr>
        <w:t xml:space="preserve"> dövlət orqanları qarşısında ərizəçi şirkətin, nə də ki Novamedin nümayəndəsi olduğunu iddia etmirdi. Lakin proses boyu o, ikinci ərizəçinin paylar</w:t>
      </w:r>
      <w:r w:rsidR="007737DF">
        <w:rPr>
          <w:lang w:val="az-Latn-AZ"/>
        </w:rPr>
        <w:t>a</w:t>
      </w:r>
      <w:r w:rsidRPr="00D43B7C" w:rsidR="00A240C7">
        <w:rPr>
          <w:lang w:val="az-Latn-AZ"/>
        </w:rPr>
        <w:t xml:space="preserve"> sahib olduğu çoxsaylı şirkətlərin nümayəndəsi olduğunu iddia edirdi. Bundan başqa, Hökumət ərizəçilərin müsadirə edilmiş elektron məlumatların hardasa </w:t>
      </w:r>
      <w:r w:rsidR="007737DF">
        <w:rPr>
          <w:lang w:val="az-Latn-AZ"/>
        </w:rPr>
        <w:t>eynilə</w:t>
      </w:r>
      <w:r w:rsidRPr="00D43B7C" w:rsidR="00A240C7">
        <w:rPr>
          <w:lang w:val="az-Latn-AZ"/>
        </w:rPr>
        <w:t xml:space="preserve"> kağız sənədlərdəki məlumatları (bunlardan bəziləri birinci ərizəçiyə istintaqı aparan hakim tərəfindən peşə sirrinə aid olduğu üçün qaytarılmışdır) əks etdirdiyi ifadəsini mübahisələndirmirdi. Ona görə müsadirə edilmiş elektron məlumatların da belə məlumatı əks etdirdiyi ağlabatan şəkildə ehtimal oluna bilərdi.</w:t>
      </w:r>
    </w:p>
    <w:p w:rsidR="00A77C80" w:rsidP="008C3FE7" w:rsidRDefault="008C3FE7">
      <w:pPr>
        <w:pStyle w:val="JuPara"/>
        <w:rPr>
          <w:lang w:val="az-Latn-AZ" w:eastAsia="en-GB"/>
        </w:rPr>
      </w:pPr>
      <w:r w:rsidRPr="00D43B7C">
        <w:rPr>
          <w:lang w:val="az-Latn-AZ" w:eastAsia="en-GB"/>
        </w:rPr>
        <w:fldChar w:fldCharType="begin"/>
      </w:r>
      <w:r w:rsidRPr="00D43B7C">
        <w:rPr>
          <w:lang w:val="az-Latn-AZ" w:eastAsia="en-GB"/>
        </w:rPr>
        <w:instrText xml:space="preserve"> SEQ level0 \*arabic </w:instrText>
      </w:r>
      <w:r w:rsidRPr="00D43B7C">
        <w:rPr>
          <w:lang w:val="az-Latn-AZ" w:eastAsia="en-GB"/>
        </w:rPr>
        <w:fldChar w:fldCharType="separate"/>
      </w:r>
      <w:r w:rsidR="00A25E09">
        <w:rPr>
          <w:noProof/>
          <w:lang w:val="az-Latn-AZ" w:eastAsia="en-GB"/>
        </w:rPr>
        <w:t>66</w:t>
      </w:r>
      <w:r w:rsidRPr="00D43B7C">
        <w:rPr>
          <w:lang w:val="az-Latn-AZ" w:eastAsia="en-GB"/>
        </w:rPr>
        <w:fldChar w:fldCharType="end"/>
      </w:r>
      <w:r w:rsidRPr="00D43B7C" w:rsidR="00436C3A">
        <w:rPr>
          <w:lang w:val="az-Latn-AZ" w:eastAsia="en-GB"/>
        </w:rPr>
        <w:t>. </w:t>
      </w:r>
      <w:r w:rsidRPr="00D43B7C" w:rsidR="000B59C2">
        <w:rPr>
          <w:lang w:val="az-Latn-AZ" w:eastAsia="en-GB"/>
        </w:rPr>
        <w:t>Nəticədə Məhkəmə hər-hansı s</w:t>
      </w:r>
      <w:r w:rsidR="007737DF">
        <w:rPr>
          <w:lang w:val="az-Latn-AZ" w:eastAsia="en-GB"/>
        </w:rPr>
        <w:t>u</w:t>
      </w:r>
      <w:r w:rsidRPr="00D43B7C" w:rsidR="000B59C2">
        <w:rPr>
          <w:lang w:val="az-Latn-AZ" w:eastAsia="en-GB"/>
        </w:rPr>
        <w:t xml:space="preserve">i-istifadənin yaxud əsassızlığın qarşısını almağa və vəkilin peşə sirrini müdafiə etmək vəzifəsini </w:t>
      </w:r>
      <w:r w:rsidR="00B006F1">
        <w:rPr>
          <w:lang w:val="az-Latn-AZ" w:eastAsia="en-GB"/>
        </w:rPr>
        <w:t>qorumağa yönələn bəzi prosedur</w:t>
      </w:r>
      <w:r w:rsidRPr="00D43B7C" w:rsidR="000B59C2">
        <w:rPr>
          <w:lang w:val="az-Latn-AZ" w:eastAsia="en-GB"/>
        </w:rPr>
        <w:t xml:space="preserve"> təminatların</w:t>
      </w:r>
      <w:r w:rsidR="00B006F1">
        <w:rPr>
          <w:lang w:val="az-Latn-AZ" w:eastAsia="en-GB"/>
        </w:rPr>
        <w:t>ın</w:t>
      </w:r>
      <w:r w:rsidRPr="00D43B7C" w:rsidR="000B59C2">
        <w:rPr>
          <w:lang w:val="az-Latn-AZ" w:eastAsia="en-GB"/>
        </w:rPr>
        <w:t xml:space="preserve"> polis zabitləri tərəfindən riayət edilməməsi faktı birinci ərizəçinin elektron məlumat</w:t>
      </w:r>
      <w:r w:rsidR="007737DF">
        <w:rPr>
          <w:lang w:val="az-Latn-AZ" w:eastAsia="en-GB"/>
        </w:rPr>
        <w:t>lar</w:t>
      </w:r>
      <w:r w:rsidRPr="00D43B7C" w:rsidR="000B59C2">
        <w:rPr>
          <w:lang w:val="az-Latn-AZ" w:eastAsia="en-GB"/>
        </w:rPr>
        <w:t>ının axtarışını</w:t>
      </w:r>
      <w:r w:rsidR="00B006F1">
        <w:rPr>
          <w:lang w:val="az-Latn-AZ" w:eastAsia="en-GB"/>
        </w:rPr>
        <w:t>n</w:t>
      </w:r>
      <w:r w:rsidRPr="00D43B7C" w:rsidR="000B59C2">
        <w:rPr>
          <w:lang w:val="az-Latn-AZ" w:eastAsia="en-GB"/>
        </w:rPr>
        <w:t xml:space="preserve"> və müsadirəni</w:t>
      </w:r>
      <w:r w:rsidR="00B006F1">
        <w:rPr>
          <w:lang w:val="az-Latn-AZ" w:eastAsia="en-GB"/>
        </w:rPr>
        <w:t>n</w:t>
      </w:r>
      <w:r w:rsidRPr="00D43B7C" w:rsidR="000B59C2">
        <w:rPr>
          <w:lang w:val="az-Latn-AZ" w:eastAsia="en-GB"/>
        </w:rPr>
        <w:t xml:space="preserve"> legitim məqsədə qeyri-mütənasib olduğunu müəyyən edir.</w:t>
      </w:r>
    </w:p>
    <w:p w:rsidR="00A77C80" w:rsidP="00661F2D" w:rsidRDefault="001974F9">
      <w:pPr>
        <w:pStyle w:val="JuPara"/>
        <w:rPr>
          <w:lang w:val="az-Latn-AZ" w:eastAsia="en-GB"/>
        </w:rPr>
      </w:pPr>
      <w:r w:rsidRPr="00D43B7C">
        <w:rPr>
          <w:lang w:val="az-Latn-AZ" w:eastAsia="en-GB"/>
        </w:rPr>
        <w:fldChar w:fldCharType="begin"/>
      </w:r>
      <w:r w:rsidRPr="00D43B7C">
        <w:rPr>
          <w:lang w:val="az-Latn-AZ" w:eastAsia="en-GB"/>
        </w:rPr>
        <w:instrText xml:space="preserve"> SEQ level0 \*arabic </w:instrText>
      </w:r>
      <w:r w:rsidRPr="00D43B7C">
        <w:rPr>
          <w:lang w:val="az-Latn-AZ" w:eastAsia="en-GB"/>
        </w:rPr>
        <w:fldChar w:fldCharType="separate"/>
      </w:r>
      <w:r w:rsidR="00A25E09">
        <w:rPr>
          <w:noProof/>
          <w:lang w:val="az-Latn-AZ" w:eastAsia="en-GB"/>
        </w:rPr>
        <w:t>67</w:t>
      </w:r>
      <w:r w:rsidRPr="00D43B7C">
        <w:rPr>
          <w:lang w:val="az-Latn-AZ" w:eastAsia="en-GB"/>
        </w:rPr>
        <w:fldChar w:fldCharType="end"/>
      </w:r>
      <w:r w:rsidRPr="00D43B7C">
        <w:rPr>
          <w:lang w:val="az-Latn-AZ" w:eastAsia="en-GB"/>
        </w:rPr>
        <w:t>. </w:t>
      </w:r>
      <w:r w:rsidRPr="00D43B7C" w:rsidR="000B59C2">
        <w:rPr>
          <w:lang w:val="az-Latn-AZ" w:eastAsia="en-GB"/>
        </w:rPr>
        <w:t>Bundan başqa</w:t>
      </w:r>
      <w:r w:rsidR="007737DF">
        <w:rPr>
          <w:lang w:val="az-Latn-AZ" w:eastAsia="en-GB"/>
        </w:rPr>
        <w:t>,</w:t>
      </w:r>
      <w:r w:rsidRPr="00D43B7C" w:rsidR="000B59C2">
        <w:rPr>
          <w:lang w:val="az-Latn-AZ" w:eastAsia="en-GB"/>
        </w:rPr>
        <w:t xml:space="preserve"> Məhkəmə vəkilin peşə sirrini qorumaq vəzifəsinin həmçinin müştəriləri qorumaq məqsədi güddüyünü müşahidə edir. Birinci ərizəçinin ikinci ərizəçi tərəfindən paylarına sahib olduğu şirkətləri təmsil etməsinə və müsadirə olunan məlumatların peşə sirrinə aid olan bəzi məlumatları özündə əks etdirməsinə dair yuxarıdakı nəticələrinə diqqət yetirərək Məhkəmə ikinci ərizəçiyə gəldikdə</w:t>
      </w:r>
      <w:r w:rsidR="007737DF">
        <w:rPr>
          <w:lang w:val="az-Latn-AZ" w:eastAsia="en-GB"/>
        </w:rPr>
        <w:t>,</w:t>
      </w:r>
      <w:r w:rsidRPr="00D43B7C" w:rsidR="000B59C2">
        <w:rPr>
          <w:lang w:val="az-Latn-AZ" w:eastAsia="en-GB"/>
        </w:rPr>
        <w:t xml:space="preserve"> fə</w:t>
      </w:r>
      <w:r w:rsidR="007737DF">
        <w:rPr>
          <w:lang w:val="az-Latn-AZ" w:eastAsia="en-GB"/>
        </w:rPr>
        <w:t>r</w:t>
      </w:r>
      <w:r w:rsidRPr="00D43B7C" w:rsidR="000B59C2">
        <w:rPr>
          <w:lang w:val="az-Latn-AZ" w:eastAsia="en-GB"/>
        </w:rPr>
        <w:t>qli qənaətə gəlmək üçün hər hansı səbəb görmür.</w:t>
      </w:r>
    </w:p>
    <w:p w:rsidR="00A77C80" w:rsidP="00154FB3" w:rsidRDefault="00A41EAB">
      <w:pPr>
        <w:pStyle w:val="JuPara"/>
        <w:rPr>
          <w:lang w:val="az-Latn-AZ" w:eastAsia="en-GB"/>
        </w:rPr>
      </w:pPr>
      <w:r w:rsidRPr="00D43B7C">
        <w:rPr>
          <w:lang w:val="az-Latn-AZ" w:eastAsia="en-GB"/>
        </w:rPr>
        <w:fldChar w:fldCharType="begin"/>
      </w:r>
      <w:r w:rsidRPr="00D43B7C">
        <w:rPr>
          <w:lang w:val="az-Latn-AZ" w:eastAsia="en-GB"/>
        </w:rPr>
        <w:instrText xml:space="preserve"> SEQ level0 \*arabic </w:instrText>
      </w:r>
      <w:r w:rsidRPr="00D43B7C">
        <w:rPr>
          <w:lang w:val="az-Latn-AZ" w:eastAsia="en-GB"/>
        </w:rPr>
        <w:fldChar w:fldCharType="separate"/>
      </w:r>
      <w:r w:rsidR="00A25E09">
        <w:rPr>
          <w:noProof/>
          <w:lang w:val="az-Latn-AZ" w:eastAsia="en-GB"/>
        </w:rPr>
        <w:t>68</w:t>
      </w:r>
      <w:r w:rsidRPr="00D43B7C">
        <w:rPr>
          <w:lang w:val="az-Latn-AZ" w:eastAsia="en-GB"/>
        </w:rPr>
        <w:fldChar w:fldCharType="end"/>
      </w:r>
      <w:r w:rsidRPr="00D43B7C">
        <w:rPr>
          <w:lang w:val="az-Latn-AZ" w:eastAsia="en-GB"/>
        </w:rPr>
        <w:t>. </w:t>
      </w:r>
      <w:r w:rsidRPr="00D43B7C" w:rsidR="001F1BB9">
        <w:rPr>
          <w:lang w:val="az-Latn-AZ" w:eastAsia="en-GB"/>
        </w:rPr>
        <w:t>Beləliklə</w:t>
      </w:r>
      <w:r w:rsidR="007737DF">
        <w:rPr>
          <w:lang w:val="az-Latn-AZ" w:eastAsia="en-GB"/>
        </w:rPr>
        <w:t>,</w:t>
      </w:r>
      <w:r w:rsidRPr="00D43B7C" w:rsidR="001F1BB9">
        <w:rPr>
          <w:lang w:val="az-Latn-AZ" w:eastAsia="en-GB"/>
        </w:rPr>
        <w:t xml:space="preserve"> hər iki ərizəçiyə münasibətdə Konvensiyanın 8-ci maddəsi pozulmuşdur.</w:t>
      </w:r>
    </w:p>
    <w:p w:rsidRPr="00D43B7C" w:rsidR="007D22BA" w:rsidP="007D22BA" w:rsidRDefault="006B2A91">
      <w:pPr>
        <w:pStyle w:val="JuHIRoman"/>
        <w:outlineLvl w:val="0"/>
        <w:rPr>
          <w:lang w:val="az-Latn-AZ"/>
        </w:rPr>
      </w:pPr>
      <w:r w:rsidRPr="00D43B7C">
        <w:rPr>
          <w:lang w:val="az-Latn-AZ"/>
        </w:rPr>
        <w:t>II</w:t>
      </w:r>
      <w:r w:rsidRPr="00D43B7C" w:rsidR="000911D8">
        <w:rPr>
          <w:lang w:val="az-Latn-AZ"/>
        </w:rPr>
        <w:t>. </w:t>
      </w:r>
      <w:r w:rsidRPr="00D43B7C" w:rsidR="007D22BA">
        <w:rPr>
          <w:lang w:val="az-Latn-AZ"/>
        </w:rPr>
        <w:t>KONVENSİYANIN 41-Cİ MADDƏSİNİN TƏTBİQİ</w:t>
      </w:r>
    </w:p>
    <w:p w:rsidRPr="00D43B7C" w:rsidR="00334B8D" w:rsidP="00334B8D" w:rsidRDefault="00334B8D">
      <w:pPr>
        <w:rPr>
          <w:szCs w:val="24"/>
          <w:lang w:val="az-Latn-AZ"/>
        </w:rPr>
      </w:pPr>
      <w:r w:rsidRPr="00D43B7C">
        <w:rPr>
          <w:szCs w:val="24"/>
          <w:lang w:val="az-Latn-AZ"/>
        </w:rPr>
        <w:t>69. Konvensiyanın 41-ci maddəsində deyilir:</w:t>
      </w:r>
    </w:p>
    <w:p w:rsidR="00A77C80" w:rsidP="00EE6609" w:rsidRDefault="00334B8D">
      <w:pPr>
        <w:autoSpaceDE w:val="0"/>
        <w:autoSpaceDN w:val="0"/>
        <w:adjustRightInd w:val="0"/>
        <w:jc w:val="both"/>
        <w:rPr>
          <w:sz w:val="20"/>
          <w:lang w:val="az-Latn-AZ"/>
        </w:rPr>
      </w:pPr>
      <w:r w:rsidRPr="00EE6609">
        <w:rPr>
          <w:sz w:val="20"/>
          <w:lang w:val="az-Latn-AZ"/>
        </w:rPr>
        <w:t>“</w:t>
      </w:r>
      <w:r w:rsidRPr="00EE6609">
        <w:rPr>
          <w:rFonts w:eastAsia="TimesNewRomanPSMT"/>
          <w:sz w:val="20"/>
          <w:lang w:val="az-Latn-AZ"/>
        </w:rPr>
        <w:t>Əgər Məhkəmə Konvensiyanın və ona dair Protokolların müddəalarının pozulduğunu, lakin</w:t>
      </w:r>
      <w:r w:rsidRPr="00EE6609" w:rsidR="00EE6609">
        <w:rPr>
          <w:rFonts w:eastAsia="TimesNewRomanPSMT"/>
          <w:sz w:val="20"/>
          <w:lang w:val="az-Latn-AZ"/>
        </w:rPr>
        <w:t xml:space="preserve"> </w:t>
      </w:r>
      <w:r w:rsidRPr="00EE6609">
        <w:rPr>
          <w:rFonts w:eastAsia="TimesNewRomanPSMT"/>
          <w:sz w:val="20"/>
          <w:lang w:val="az-Latn-AZ"/>
        </w:rPr>
        <w:t>Razılığa gələn Yüksək Tərəfin daxili hüququnun yalnız bu pozuntunun nəticələrinin qismən</w:t>
      </w:r>
      <w:r w:rsidRPr="00EE6609" w:rsidR="00EE6609">
        <w:rPr>
          <w:rFonts w:eastAsia="TimesNewRomanPSMT"/>
          <w:sz w:val="20"/>
          <w:lang w:val="az-Latn-AZ"/>
        </w:rPr>
        <w:t xml:space="preserve"> </w:t>
      </w:r>
      <w:r w:rsidRPr="00EE6609">
        <w:rPr>
          <w:rFonts w:eastAsia="TimesNewRomanPSMT"/>
          <w:sz w:val="20"/>
          <w:lang w:val="az-Latn-AZ"/>
        </w:rPr>
        <w:t>aradan qaldırılmasına imkan verdiyini müəyyən edirsə, Məhkəmə zəruri halda, zərərçəkən</w:t>
      </w:r>
      <w:r w:rsidRPr="00EE6609" w:rsidR="00EE6609">
        <w:rPr>
          <w:rFonts w:eastAsia="TimesNewRomanPSMT"/>
          <w:sz w:val="20"/>
          <w:lang w:val="az-Latn-AZ"/>
        </w:rPr>
        <w:t xml:space="preserve"> </w:t>
      </w:r>
      <w:r w:rsidRPr="00EE6609">
        <w:rPr>
          <w:rFonts w:eastAsia="TimesNewRomanPSMT"/>
          <w:sz w:val="20"/>
          <w:lang w:val="az-Latn-AZ"/>
        </w:rPr>
        <w:t>tərəfə əvəzin ədalətli ödənilməsini təyin edir.</w:t>
      </w:r>
      <w:r w:rsidRPr="00EE6609">
        <w:rPr>
          <w:sz w:val="20"/>
          <w:lang w:val="az-Latn-AZ"/>
        </w:rPr>
        <w:t>”</w:t>
      </w:r>
    </w:p>
    <w:p w:rsidRPr="00D43B7C" w:rsidR="00334B8D" w:rsidP="00334B8D" w:rsidRDefault="00334B8D">
      <w:pPr>
        <w:jc w:val="both"/>
        <w:rPr>
          <w:szCs w:val="24"/>
          <w:lang w:val="az-Latn-AZ"/>
        </w:rPr>
      </w:pPr>
    </w:p>
    <w:p w:rsidRPr="00D43B7C" w:rsidR="00334B8D" w:rsidP="00334B8D" w:rsidRDefault="00334B8D">
      <w:pPr>
        <w:pStyle w:val="ListParagraph"/>
        <w:numPr>
          <w:ilvl w:val="0"/>
          <w:numId w:val="32"/>
        </w:numPr>
        <w:spacing w:line="240" w:lineRule="auto"/>
        <w:jc w:val="both"/>
        <w:rPr>
          <w:rFonts w:ascii="Times New Roman" w:hAnsi="Times New Roman"/>
          <w:b/>
          <w:sz w:val="24"/>
          <w:szCs w:val="24"/>
          <w:lang w:val="az-Latn-AZ"/>
        </w:rPr>
      </w:pPr>
      <w:r w:rsidRPr="00D43B7C">
        <w:rPr>
          <w:rFonts w:ascii="Times New Roman" w:hAnsi="Times New Roman"/>
          <w:b/>
          <w:sz w:val="24"/>
          <w:szCs w:val="24"/>
          <w:lang w:val="az-Latn-AZ"/>
        </w:rPr>
        <w:t>Zərər</w:t>
      </w:r>
    </w:p>
    <w:p w:rsidRPr="00D43B7C" w:rsidR="00334B8D" w:rsidP="00334B8D" w:rsidRDefault="00334B8D">
      <w:pPr>
        <w:ind w:left="-57" w:firstLine="57"/>
        <w:jc w:val="both"/>
        <w:rPr>
          <w:szCs w:val="24"/>
          <w:lang w:val="az-Latn-AZ"/>
        </w:rPr>
      </w:pPr>
      <w:r w:rsidRPr="00D43B7C">
        <w:rPr>
          <w:szCs w:val="24"/>
          <w:lang w:val="az-Latn-AZ"/>
        </w:rPr>
        <w:t>70. Maddi zərərin başlığı altında birinci ərizəçi müştərilərin itirilməsinə görə 2000-ci ildən bəri illik 4,000 €</w:t>
      </w:r>
      <w:r w:rsidR="00A77C80">
        <w:rPr>
          <w:szCs w:val="24"/>
          <w:lang w:val="az-Latn-AZ"/>
        </w:rPr>
        <w:t xml:space="preserve"> </w:t>
      </w:r>
      <w:r w:rsidRPr="00D43B7C">
        <w:rPr>
          <w:szCs w:val="24"/>
          <w:lang w:val="az-Latn-AZ"/>
        </w:rPr>
        <w:t>tələb etmişdir. O qeyd edib ki, peşə sirrini pozmadan sübut təqdim edə bilməz. Bundan əlavə, ərizəçi ona dəyən qeyri-maddi zərər üçün 10,000 € tələb edib, çünki</w:t>
      </w:r>
      <w:r w:rsidR="00A77C80">
        <w:rPr>
          <w:szCs w:val="24"/>
          <w:lang w:val="az-Latn-AZ"/>
        </w:rPr>
        <w:t xml:space="preserve"> </w:t>
      </w:r>
      <w:r w:rsidRPr="00D43B7C">
        <w:rPr>
          <w:szCs w:val="24"/>
          <w:lang w:val="az-Latn-AZ"/>
        </w:rPr>
        <w:t xml:space="preserve">hadisələr nəticəsində onun vəkillik </w:t>
      </w:r>
      <w:r w:rsidR="00CD5B96">
        <w:rPr>
          <w:szCs w:val="24"/>
          <w:lang w:val="az-Latn-AZ"/>
        </w:rPr>
        <w:t>nüfuzuna</w:t>
      </w:r>
      <w:r w:rsidRPr="00D43B7C">
        <w:rPr>
          <w:szCs w:val="24"/>
          <w:lang w:val="az-Latn-AZ"/>
        </w:rPr>
        <w:t xml:space="preserve"> xələl gəlib.</w:t>
      </w:r>
    </w:p>
    <w:p w:rsidRPr="00D43B7C" w:rsidR="00334B8D" w:rsidP="00334B8D" w:rsidRDefault="00334B8D">
      <w:pPr>
        <w:ind w:left="-57" w:firstLine="57"/>
        <w:jc w:val="both"/>
        <w:rPr>
          <w:szCs w:val="24"/>
          <w:lang w:val="az-Latn-AZ"/>
        </w:rPr>
      </w:pPr>
      <w:r w:rsidRPr="00D43B7C">
        <w:rPr>
          <w:szCs w:val="24"/>
          <w:lang w:val="az-Latn-AZ"/>
        </w:rPr>
        <w:t>71. Ərizəçi şirkət vurulan maddi zərər üçün 20,211.56</w:t>
      </w:r>
      <w:r w:rsidRPr="00D43B7C">
        <w:rPr>
          <w:lang w:val="az-Latn-AZ"/>
        </w:rPr>
        <w:t xml:space="preserve"> </w:t>
      </w:r>
      <w:r w:rsidRPr="00D43B7C">
        <w:rPr>
          <w:szCs w:val="24"/>
          <w:lang w:val="az-Latn-AZ"/>
        </w:rPr>
        <w:t>€</w:t>
      </w:r>
      <w:r w:rsidR="00A77C80">
        <w:rPr>
          <w:szCs w:val="24"/>
          <w:lang w:val="az-Latn-AZ"/>
        </w:rPr>
        <w:t xml:space="preserve"> </w:t>
      </w:r>
      <w:r w:rsidRPr="00D43B7C">
        <w:rPr>
          <w:szCs w:val="24"/>
          <w:lang w:val="az-Latn-AZ"/>
        </w:rPr>
        <w:t>təzminat tələb edib. Şirkət iddia edib ki,</w:t>
      </w:r>
      <w:r w:rsidR="00A77C80">
        <w:rPr>
          <w:szCs w:val="24"/>
          <w:lang w:val="az-Latn-AZ"/>
        </w:rPr>
        <w:t xml:space="preserve"> </w:t>
      </w:r>
      <w:r w:rsidR="00E9304F">
        <w:rPr>
          <w:szCs w:val="24"/>
          <w:lang w:val="az-Latn-AZ"/>
        </w:rPr>
        <w:t>h</w:t>
      </w:r>
      <w:r w:rsidRPr="00D43B7C">
        <w:rPr>
          <w:szCs w:val="24"/>
          <w:lang w:val="az-Latn-AZ"/>
        </w:rPr>
        <w:t>oldinq şirkəti olaraq məlumatların müsadirə edilməsi nəticəsində onun adına ciddi xələl gəlib. Nəticə etibarilə şirkət yeni ad altında yenidən qurulmalıdır və nominal sərmayə üçün 17,500</w:t>
      </w:r>
      <w:r w:rsidR="00A77C80">
        <w:rPr>
          <w:szCs w:val="24"/>
          <w:lang w:val="az-Latn-AZ"/>
        </w:rPr>
        <w:t xml:space="preserve"> </w:t>
      </w:r>
      <w:r w:rsidRPr="00D43B7C">
        <w:rPr>
          <w:szCs w:val="24"/>
          <w:lang w:val="az-Latn-AZ"/>
        </w:rPr>
        <w:t>€ və</w:t>
      </w:r>
      <w:r w:rsidR="00A77C80">
        <w:rPr>
          <w:szCs w:val="24"/>
          <w:lang w:val="az-Latn-AZ"/>
        </w:rPr>
        <w:t xml:space="preserve"> </w:t>
      </w:r>
      <w:r w:rsidRPr="00D43B7C">
        <w:rPr>
          <w:szCs w:val="24"/>
          <w:lang w:val="az-Latn-AZ"/>
        </w:rPr>
        <w:t>hüquqi məsələlərlə bağlı məbləğin ödənilməsi üçün</w:t>
      </w:r>
      <w:r w:rsidR="00A77C80">
        <w:rPr>
          <w:szCs w:val="24"/>
          <w:lang w:val="az-Latn-AZ"/>
        </w:rPr>
        <w:t xml:space="preserve"> </w:t>
      </w:r>
      <w:r w:rsidRPr="00D43B7C">
        <w:rPr>
          <w:szCs w:val="24"/>
          <w:lang w:val="az-Latn-AZ"/>
        </w:rPr>
        <w:t>2,711.56 € tələb olunur. O, qeyri-maddi zərərlə bağlı heç bir tələb irəli sürməyib.</w:t>
      </w:r>
    </w:p>
    <w:p w:rsidRPr="00D43B7C" w:rsidR="00334B8D" w:rsidP="00334B8D" w:rsidRDefault="00334B8D">
      <w:pPr>
        <w:ind w:left="-57" w:firstLine="57"/>
        <w:jc w:val="both"/>
        <w:rPr>
          <w:szCs w:val="24"/>
          <w:lang w:val="az-Latn-AZ"/>
        </w:rPr>
      </w:pPr>
      <w:r w:rsidRPr="00D43B7C">
        <w:rPr>
          <w:szCs w:val="24"/>
          <w:lang w:val="az-Latn-AZ"/>
        </w:rPr>
        <w:t>72. Hökumət baxılan məsələdə pozulma ilə ərizəçilərin iddia etdiyi zərər arasında səbəbiyyət əlaqəsinin olmadığını iddia etmişdir.</w:t>
      </w:r>
    </w:p>
    <w:p w:rsidR="00A77C80" w:rsidP="00334B8D" w:rsidRDefault="00334B8D">
      <w:pPr>
        <w:ind w:left="-57" w:firstLine="57"/>
        <w:jc w:val="both"/>
        <w:rPr>
          <w:szCs w:val="24"/>
          <w:lang w:val="az-Latn-AZ"/>
        </w:rPr>
      </w:pPr>
      <w:r w:rsidRPr="00D43B7C">
        <w:rPr>
          <w:szCs w:val="24"/>
          <w:lang w:val="az-Latn-AZ"/>
        </w:rPr>
        <w:t>73. Ərizəçinin maddi ziyanla bağlı iddiaları ilə əlaqədar Məhkəmə aparılan axtarış və elektron məlumatların müsadirəsinin Konvensiyanın 8-ci maddəsinə uyğun aparıldığı təqdirdə ərizəçilərin nüfuzuna necə təsir göstərəcəyinə dair</w:t>
      </w:r>
      <w:r w:rsidR="00A77C80">
        <w:rPr>
          <w:szCs w:val="24"/>
          <w:lang w:val="az-Latn-AZ"/>
        </w:rPr>
        <w:t xml:space="preserve"> </w:t>
      </w:r>
      <w:r w:rsidRPr="00D43B7C">
        <w:rPr>
          <w:szCs w:val="24"/>
          <w:lang w:val="az-Latn-AZ"/>
        </w:rPr>
        <w:t xml:space="preserve">mülahizələr edə bilmədiyini qeyd edir (bax: </w:t>
      </w:r>
      <w:r w:rsidRPr="00D43B7C">
        <w:rPr>
          <w:i/>
          <w:szCs w:val="24"/>
          <w:lang w:val="az-Latn-AZ"/>
        </w:rPr>
        <w:t xml:space="preserve">mutatis mutandis, </w:t>
      </w:r>
      <w:r w:rsidRPr="00D43B7C">
        <w:rPr>
          <w:szCs w:val="24"/>
          <w:lang w:val="az-Latn-AZ"/>
        </w:rPr>
        <w:t xml:space="preserve">yuxarıda qeyd olunan Sosiete Kolas Est və Digərləri işi, § 54). Beləliklə, Məhkəmə bu başlıq altında </w:t>
      </w:r>
      <w:r w:rsidR="00E9304F">
        <w:rPr>
          <w:szCs w:val="24"/>
          <w:lang w:val="az-Latn-AZ"/>
        </w:rPr>
        <w:t>kompensasiya təyin etmir</w:t>
      </w:r>
      <w:r w:rsidRPr="00D43B7C">
        <w:rPr>
          <w:szCs w:val="24"/>
          <w:lang w:val="az-Latn-AZ"/>
        </w:rPr>
        <w:t>.</w:t>
      </w:r>
    </w:p>
    <w:p w:rsidR="00A77C80" w:rsidP="00334B8D" w:rsidRDefault="00334B8D">
      <w:pPr>
        <w:ind w:left="-57" w:firstLine="57"/>
        <w:jc w:val="both"/>
        <w:rPr>
          <w:szCs w:val="24"/>
          <w:lang w:val="az-Latn-AZ"/>
        </w:rPr>
      </w:pPr>
      <w:r w:rsidRPr="00D43B7C">
        <w:rPr>
          <w:szCs w:val="24"/>
          <w:lang w:val="az-Latn-AZ"/>
        </w:rPr>
        <w:t>74. Bununla belə, Məhkəmə qəbul edir ki, birinci ərizəçiyə axtarışın və məlumatların müsadirəsinin tərzindən mənəvi əziyyət və məyusluq formasında qeyri-maddi ziyan dəyib. Bərabər əsasda qiymətləndirmə apararaq və oxşar işdə verilən məbləği nəzərə alaraq (bax: yuxarıda qeyd olunan Sallinen və başqaları işi, §114),</w:t>
      </w:r>
      <w:r w:rsidR="00A77C80">
        <w:rPr>
          <w:szCs w:val="24"/>
          <w:lang w:val="az-Latn-AZ"/>
        </w:rPr>
        <w:t xml:space="preserve"> </w:t>
      </w:r>
      <w:r w:rsidRPr="00D43B7C">
        <w:rPr>
          <w:szCs w:val="24"/>
          <w:lang w:val="az-Latn-AZ"/>
        </w:rPr>
        <w:t xml:space="preserve">Məhkəmə birinci ərizəçiyə qeyri-maddi zərər başlığı altında 2,500 € təzminat </w:t>
      </w:r>
      <w:r w:rsidR="00807FE6">
        <w:rPr>
          <w:szCs w:val="24"/>
          <w:lang w:val="az-Latn-AZ"/>
        </w:rPr>
        <w:t>təyin edir</w:t>
      </w:r>
      <w:r w:rsidRPr="00D43B7C">
        <w:rPr>
          <w:szCs w:val="24"/>
          <w:lang w:val="az-Latn-AZ"/>
        </w:rPr>
        <w:t>.</w:t>
      </w:r>
    </w:p>
    <w:p w:rsidRPr="00D43B7C" w:rsidR="007737DF" w:rsidP="00334B8D" w:rsidRDefault="007737DF">
      <w:pPr>
        <w:ind w:left="-57" w:firstLine="57"/>
        <w:jc w:val="both"/>
        <w:rPr>
          <w:szCs w:val="24"/>
          <w:lang w:val="az-Latn-AZ"/>
        </w:rPr>
      </w:pPr>
    </w:p>
    <w:p w:rsidRPr="00D43B7C" w:rsidR="00334B8D" w:rsidP="00334B8D" w:rsidRDefault="00334B8D">
      <w:pPr>
        <w:ind w:left="-57" w:firstLine="57"/>
        <w:jc w:val="both"/>
        <w:rPr>
          <w:b/>
          <w:szCs w:val="24"/>
          <w:lang w:val="az-Latn-AZ"/>
        </w:rPr>
      </w:pPr>
      <w:r w:rsidRPr="00D43B7C">
        <w:rPr>
          <w:b/>
          <w:szCs w:val="24"/>
          <w:lang w:val="az-Latn-AZ"/>
        </w:rPr>
        <w:t>B. Məhkəmə xərcləri</w:t>
      </w:r>
    </w:p>
    <w:p w:rsidRPr="00D43B7C" w:rsidR="00334B8D" w:rsidP="00334B8D" w:rsidRDefault="00334B8D">
      <w:pPr>
        <w:ind w:left="-57" w:firstLine="57"/>
        <w:jc w:val="both"/>
        <w:rPr>
          <w:b/>
          <w:szCs w:val="24"/>
          <w:lang w:val="az-Latn-AZ"/>
        </w:rPr>
      </w:pPr>
    </w:p>
    <w:p w:rsidRPr="00D43B7C" w:rsidR="00334B8D" w:rsidP="00334B8D" w:rsidRDefault="00334B8D">
      <w:pPr>
        <w:ind w:left="-57" w:firstLine="57"/>
        <w:jc w:val="both"/>
        <w:rPr>
          <w:szCs w:val="24"/>
          <w:lang w:val="az-Latn-AZ"/>
        </w:rPr>
      </w:pPr>
      <w:r w:rsidRPr="00D43B7C">
        <w:rPr>
          <w:szCs w:val="24"/>
          <w:lang w:val="az-Latn-AZ"/>
        </w:rPr>
        <w:t>75. Birinci ərizəçi ölkədaxili icraata</w:t>
      </w:r>
      <w:r w:rsidR="00A77C80">
        <w:rPr>
          <w:szCs w:val="24"/>
          <w:lang w:val="az-Latn-AZ"/>
        </w:rPr>
        <w:t xml:space="preserve"> </w:t>
      </w:r>
      <w:r w:rsidRPr="00D43B7C">
        <w:rPr>
          <w:szCs w:val="24"/>
          <w:lang w:val="az-Latn-AZ"/>
        </w:rPr>
        <w:t>9,204.52 € və Konvensiya icraatına müraciət üçün 6,762.63 € olmaqla ümumilikdə məhkəmə xərcləri kimi 15,967.15 € məbləği tələb etmişdir. Bu məbləğə əlavə dəyər vergisi (ƏDV) də daxildir.</w:t>
      </w:r>
    </w:p>
    <w:p w:rsidR="00A77C80" w:rsidP="00334B8D" w:rsidRDefault="00334B8D">
      <w:pPr>
        <w:ind w:left="-57" w:firstLine="57"/>
        <w:jc w:val="both"/>
        <w:rPr>
          <w:szCs w:val="24"/>
          <w:lang w:val="az-Latn-AZ"/>
        </w:rPr>
      </w:pPr>
      <w:r w:rsidRPr="00D43B7C">
        <w:rPr>
          <w:szCs w:val="24"/>
          <w:lang w:val="az-Latn-AZ"/>
        </w:rPr>
        <w:t>76. Hökumət ölkədaxili icraatla bağlı sadalanan xərclərin həqiqətən mövcud olduğunu qəbul edir. Lakin onlar tələb edilən məbləğlərin həddindən çox olduğunu bildirmişlər, belə ki, bu məbləğlər münasib daxili qanunlarla və hüquqşünasların məvaciblərini tənzimləyən qaydalarla uyğun gəlmir. Konkret olaraq, tələb edilən</w:t>
      </w:r>
      <w:r w:rsidR="00A77C80">
        <w:rPr>
          <w:szCs w:val="24"/>
          <w:lang w:val="az-Latn-AZ"/>
        </w:rPr>
        <w:t xml:space="preserve"> </w:t>
      </w:r>
      <w:r w:rsidRPr="00D43B7C">
        <w:rPr>
          <w:szCs w:val="24"/>
          <w:lang w:val="az-Latn-AZ"/>
        </w:rPr>
        <w:t>4,858 € əvəzinə yalnız</w:t>
      </w:r>
      <w:r w:rsidR="00A77C80">
        <w:rPr>
          <w:szCs w:val="24"/>
          <w:lang w:val="az-Latn-AZ"/>
        </w:rPr>
        <w:t xml:space="preserve"> </w:t>
      </w:r>
      <w:r w:rsidRPr="00D43B7C">
        <w:rPr>
          <w:szCs w:val="24"/>
          <w:lang w:val="az-Latn-AZ"/>
        </w:rPr>
        <w:t>1,486.80 € Zalzburq Müstəqil İnzibati Palatasındakı icraata uyğundur. Bundan başqa, Hökumət iddia etmişdir ki, Konvensiya icraatı ilə bağlı iddia edilən xərclər həddindən artıq çoxdur. Təkcə</w:t>
      </w:r>
      <w:r w:rsidR="00A77C80">
        <w:rPr>
          <w:szCs w:val="24"/>
          <w:lang w:val="az-Latn-AZ"/>
        </w:rPr>
        <w:t xml:space="preserve"> </w:t>
      </w:r>
      <w:r w:rsidRPr="00D43B7C">
        <w:rPr>
          <w:szCs w:val="24"/>
          <w:lang w:val="az-Latn-AZ"/>
        </w:rPr>
        <w:t>2,289.96 € məbləği uyğundur.</w:t>
      </w:r>
    </w:p>
    <w:p w:rsidRPr="00D43B7C" w:rsidR="00334B8D" w:rsidP="00334B8D" w:rsidRDefault="00334B8D">
      <w:pPr>
        <w:ind w:left="-57" w:firstLine="57"/>
        <w:jc w:val="both"/>
        <w:rPr>
          <w:szCs w:val="24"/>
          <w:lang w:val="az-Latn-AZ"/>
        </w:rPr>
      </w:pPr>
      <w:r w:rsidRPr="00D43B7C">
        <w:rPr>
          <w:szCs w:val="24"/>
          <w:lang w:val="az-Latn-AZ"/>
        </w:rPr>
        <w:t>77. Məhkəmə təkrar edir ki, Konvensiyanın pozulması halı aşkarlanarsa ərizəçiyə pozuntunun qarşısını almaq və ya onun əvəzinə ödəmək üçün icraata çəkilən və ağlabatan miqdarda olan məbləği təyin edə bilər (bax: yuxarıda qeyd olunan Sosiete Kolas Est və Digərləri işi, § 56).</w:t>
      </w:r>
    </w:p>
    <w:p w:rsidRPr="00D43B7C" w:rsidR="00334B8D" w:rsidP="00334B8D" w:rsidRDefault="00334B8D">
      <w:pPr>
        <w:ind w:left="-57" w:firstLine="57"/>
        <w:jc w:val="both"/>
        <w:rPr>
          <w:szCs w:val="24"/>
          <w:lang w:val="az-Latn-AZ"/>
        </w:rPr>
      </w:pPr>
      <w:r w:rsidRPr="00D43B7C">
        <w:rPr>
          <w:szCs w:val="24"/>
          <w:lang w:val="az-Latn-AZ"/>
        </w:rPr>
        <w:t>78. Məhkəmə qeyd edir ki, birinci ərizəçinin tələb etdiyi</w:t>
      </w:r>
      <w:r w:rsidR="00A77C80">
        <w:rPr>
          <w:szCs w:val="24"/>
          <w:lang w:val="az-Latn-AZ"/>
        </w:rPr>
        <w:t xml:space="preserve"> </w:t>
      </w:r>
      <w:r w:rsidRPr="00D43B7C">
        <w:rPr>
          <w:szCs w:val="24"/>
          <w:lang w:val="az-Latn-AZ"/>
        </w:rPr>
        <w:t>xərclərin real xərclər olduğu mübahisə edilmir. Lakin o hesab edir ki, tələb olunan məbləğ ağlabatan miqdarda deyil</w:t>
      </w:r>
      <w:r w:rsidR="00CD5B96">
        <w:rPr>
          <w:szCs w:val="24"/>
          <w:lang w:val="az-Latn-AZ"/>
        </w:rPr>
        <w:t>. Əlində olan məlumatlara əsasə</w:t>
      </w:r>
      <w:r w:rsidRPr="00D43B7C">
        <w:rPr>
          <w:szCs w:val="24"/>
          <w:lang w:val="az-Latn-AZ"/>
        </w:rPr>
        <w:t>n və oxşar işlərdə təyin olunan məbləğləri nəzərə alaraq Məhkəmə bütün başlıqlar altında xərcləri əhatə edən 10,000 € məbləğində təzminatı ağlabatan hesab edir. Bu məbləğə ƏDV daxildir.</w:t>
      </w:r>
    </w:p>
    <w:p w:rsidRPr="00D43B7C" w:rsidR="00334B8D" w:rsidP="00334B8D" w:rsidRDefault="00334B8D">
      <w:pPr>
        <w:ind w:left="-57" w:firstLine="57"/>
        <w:jc w:val="both"/>
        <w:rPr>
          <w:b/>
          <w:szCs w:val="24"/>
          <w:lang w:val="az-Latn-AZ"/>
        </w:rPr>
      </w:pPr>
    </w:p>
    <w:p w:rsidR="00A77C80" w:rsidP="00334B8D" w:rsidRDefault="00334B8D">
      <w:pPr>
        <w:ind w:left="-57" w:firstLine="57"/>
        <w:jc w:val="both"/>
        <w:rPr>
          <w:b/>
          <w:szCs w:val="24"/>
          <w:lang w:val="az-Latn-AZ"/>
        </w:rPr>
      </w:pPr>
      <w:r w:rsidRPr="00D43B7C">
        <w:rPr>
          <w:b/>
          <w:szCs w:val="24"/>
          <w:lang w:val="az-Latn-AZ"/>
        </w:rPr>
        <w:t xml:space="preserve">C. </w:t>
      </w:r>
      <w:r w:rsidR="00E31F4D">
        <w:rPr>
          <w:b/>
          <w:szCs w:val="24"/>
          <w:lang w:val="az-Latn-AZ"/>
        </w:rPr>
        <w:t>Gecikdirmə</w:t>
      </w:r>
      <w:r w:rsidRPr="00D43B7C">
        <w:rPr>
          <w:b/>
          <w:szCs w:val="24"/>
          <w:lang w:val="az-Latn-AZ"/>
        </w:rPr>
        <w:t xml:space="preserve"> faizi</w:t>
      </w:r>
    </w:p>
    <w:p w:rsidRPr="00D43B7C" w:rsidR="00334B8D" w:rsidP="00334B8D" w:rsidRDefault="00334B8D">
      <w:pPr>
        <w:ind w:left="-57" w:firstLine="57"/>
        <w:jc w:val="both"/>
        <w:rPr>
          <w:b/>
          <w:szCs w:val="24"/>
          <w:lang w:val="az-Latn-AZ"/>
        </w:rPr>
      </w:pPr>
    </w:p>
    <w:p w:rsidR="00A77C80" w:rsidP="00334B8D" w:rsidRDefault="00334B8D">
      <w:pPr>
        <w:ind w:left="-57" w:firstLine="57"/>
        <w:jc w:val="both"/>
        <w:rPr>
          <w:szCs w:val="24"/>
          <w:lang w:val="az-Latn-AZ"/>
        </w:rPr>
      </w:pPr>
      <w:r w:rsidRPr="00D43B7C">
        <w:rPr>
          <w:szCs w:val="24"/>
          <w:lang w:val="az-Latn-AZ"/>
        </w:rPr>
        <w:t xml:space="preserve">79. </w:t>
      </w:r>
      <w:r w:rsidRPr="00E31F4D" w:rsidR="00E31F4D">
        <w:rPr>
          <w:lang w:val="az-Latn-AZ"/>
        </w:rPr>
        <w:t>Məhkəmə gecikdirmə faizinin Avropa Mərkəzi Bankının kredit faizinin yuxarı həddinə əsaslanmasını və buraya üç faiz əlavə edilməsini uyğun hesab edir.</w:t>
      </w:r>
    </w:p>
    <w:p w:rsidRPr="00D43B7C" w:rsidR="00334B8D" w:rsidP="00334B8D" w:rsidRDefault="00334B8D">
      <w:pPr>
        <w:ind w:left="360"/>
        <w:jc w:val="both"/>
        <w:rPr>
          <w:szCs w:val="24"/>
          <w:lang w:val="az-Latn-AZ"/>
        </w:rPr>
      </w:pPr>
    </w:p>
    <w:p w:rsidR="00A77C80" w:rsidP="00334B8D" w:rsidRDefault="00334B8D">
      <w:pPr>
        <w:jc w:val="both"/>
        <w:rPr>
          <w:szCs w:val="24"/>
          <w:lang w:val="az-Latn-AZ"/>
        </w:rPr>
      </w:pPr>
      <w:r w:rsidRPr="00D43B7C">
        <w:rPr>
          <w:szCs w:val="24"/>
          <w:lang w:val="az-Latn-AZ"/>
        </w:rPr>
        <w:t xml:space="preserve">BU </w:t>
      </w:r>
      <w:r w:rsidR="00C10719">
        <w:rPr>
          <w:szCs w:val="24"/>
          <w:lang w:val="az-Latn-AZ"/>
        </w:rPr>
        <w:t xml:space="preserve">SƏBƏBLƏRƏ </w:t>
      </w:r>
      <w:r w:rsidRPr="00D43B7C">
        <w:rPr>
          <w:szCs w:val="24"/>
          <w:lang w:val="az-Latn-AZ"/>
        </w:rPr>
        <w:t>GÖRƏ MƏHKƏMƏ</w:t>
      </w:r>
    </w:p>
    <w:p w:rsidRPr="00D43B7C" w:rsidR="00C10719" w:rsidP="00334B8D" w:rsidRDefault="00C10719">
      <w:pPr>
        <w:jc w:val="both"/>
        <w:rPr>
          <w:szCs w:val="24"/>
          <w:lang w:val="az-Latn-AZ"/>
        </w:rPr>
      </w:pPr>
    </w:p>
    <w:p w:rsidRPr="00D43B7C" w:rsidR="00334B8D" w:rsidP="00334B8D" w:rsidRDefault="00334B8D">
      <w:pPr>
        <w:jc w:val="both"/>
        <w:rPr>
          <w:szCs w:val="24"/>
          <w:lang w:val="az-Latn-AZ"/>
        </w:rPr>
      </w:pPr>
      <w:r w:rsidRPr="00D43B7C">
        <w:rPr>
          <w:szCs w:val="24"/>
          <w:lang w:val="az-Latn-AZ"/>
        </w:rPr>
        <w:t>1. Yekdilliklə Hökumətin daxili vasitələrin tükə</w:t>
      </w:r>
      <w:r w:rsidR="00CD5B96">
        <w:rPr>
          <w:szCs w:val="24"/>
          <w:lang w:val="az-Latn-AZ"/>
        </w:rPr>
        <w:t>n</w:t>
      </w:r>
      <w:r w:rsidRPr="00D43B7C">
        <w:rPr>
          <w:szCs w:val="24"/>
          <w:lang w:val="az-Latn-AZ"/>
        </w:rPr>
        <w:t>di</w:t>
      </w:r>
      <w:r w:rsidR="00CD5B96">
        <w:rPr>
          <w:szCs w:val="24"/>
          <w:lang w:val="az-Latn-AZ"/>
        </w:rPr>
        <w:t>r</w:t>
      </w:r>
      <w:r w:rsidR="0018676C">
        <w:rPr>
          <w:szCs w:val="24"/>
          <w:lang w:val="az-Latn-AZ"/>
        </w:rPr>
        <w:t>ilməməsi</w:t>
      </w:r>
      <w:r w:rsidRPr="00D43B7C">
        <w:rPr>
          <w:szCs w:val="24"/>
          <w:lang w:val="az-Latn-AZ"/>
        </w:rPr>
        <w:t xml:space="preserve"> ilə bağlı ilkin etirazını </w:t>
      </w:r>
      <w:r w:rsidRPr="00D43B7C">
        <w:rPr>
          <w:i/>
          <w:szCs w:val="24"/>
          <w:lang w:val="az-Latn-AZ"/>
        </w:rPr>
        <w:t>rədd edir</w:t>
      </w:r>
      <w:r w:rsidRPr="00D43B7C">
        <w:rPr>
          <w:szCs w:val="24"/>
          <w:lang w:val="az-Latn-AZ"/>
        </w:rPr>
        <w:t>;</w:t>
      </w:r>
    </w:p>
    <w:p w:rsidRPr="00D43B7C" w:rsidR="00334B8D" w:rsidP="00334B8D" w:rsidRDefault="00334B8D">
      <w:pPr>
        <w:jc w:val="both"/>
        <w:rPr>
          <w:szCs w:val="24"/>
          <w:lang w:val="az-Latn-AZ"/>
        </w:rPr>
      </w:pPr>
      <w:r w:rsidRPr="00D43B7C">
        <w:rPr>
          <w:szCs w:val="24"/>
          <w:lang w:val="az-Latn-AZ"/>
        </w:rPr>
        <w:t xml:space="preserve">2. Yekdilliklə birinci ərizəçi ilə bağlı Konvensiyanın 8-ci maddəsinin pozulmasını </w:t>
      </w:r>
      <w:r w:rsidRPr="00D43B7C">
        <w:rPr>
          <w:i/>
          <w:szCs w:val="24"/>
          <w:lang w:val="az-Latn-AZ"/>
        </w:rPr>
        <w:t>qərara alır</w:t>
      </w:r>
      <w:r w:rsidRPr="00D43B7C">
        <w:rPr>
          <w:szCs w:val="24"/>
          <w:lang w:val="az-Latn-AZ"/>
        </w:rPr>
        <w:t>;</w:t>
      </w:r>
    </w:p>
    <w:p w:rsidRPr="00D43B7C" w:rsidR="00334B8D" w:rsidP="00334B8D" w:rsidRDefault="00334B8D">
      <w:pPr>
        <w:jc w:val="both"/>
        <w:rPr>
          <w:szCs w:val="24"/>
          <w:lang w:val="az-Latn-AZ"/>
        </w:rPr>
      </w:pPr>
      <w:r w:rsidRPr="00D43B7C">
        <w:rPr>
          <w:szCs w:val="24"/>
          <w:lang w:val="az-Latn-AZ"/>
        </w:rPr>
        <w:t xml:space="preserve">2. Dördə qarşı üç səslə ikinci ərizəçi ilə bağlı Konvensiyanın 8-ci maddəsinin pozulmasını </w:t>
      </w:r>
      <w:r w:rsidRPr="00D43B7C">
        <w:rPr>
          <w:i/>
          <w:szCs w:val="24"/>
          <w:lang w:val="az-Latn-AZ"/>
        </w:rPr>
        <w:t>qərara alır</w:t>
      </w:r>
      <w:r w:rsidRPr="00D43B7C">
        <w:rPr>
          <w:szCs w:val="24"/>
          <w:lang w:val="az-Latn-AZ"/>
        </w:rPr>
        <w:t>;</w:t>
      </w:r>
    </w:p>
    <w:p w:rsidR="00A77C80" w:rsidP="00334B8D" w:rsidRDefault="00334B8D">
      <w:pPr>
        <w:jc w:val="both"/>
        <w:rPr>
          <w:szCs w:val="24"/>
          <w:lang w:val="az-Latn-AZ"/>
        </w:rPr>
      </w:pPr>
      <w:r w:rsidRPr="00D43B7C">
        <w:rPr>
          <w:szCs w:val="24"/>
          <w:lang w:val="az-Latn-AZ"/>
        </w:rPr>
        <w:t xml:space="preserve">3. Yekdilliklə </w:t>
      </w:r>
      <w:r w:rsidRPr="00D43B7C">
        <w:rPr>
          <w:i/>
          <w:szCs w:val="24"/>
          <w:lang w:val="az-Latn-AZ"/>
        </w:rPr>
        <w:t>qərara alır</w:t>
      </w:r>
      <w:r w:rsidRPr="00D43B7C">
        <w:rPr>
          <w:szCs w:val="24"/>
          <w:lang w:val="az-Latn-AZ"/>
        </w:rPr>
        <w:t xml:space="preserve"> ki,</w:t>
      </w:r>
    </w:p>
    <w:p w:rsidRPr="00D43B7C" w:rsidR="00334B8D" w:rsidP="00334B8D" w:rsidRDefault="00334B8D">
      <w:pPr>
        <w:jc w:val="both"/>
        <w:rPr>
          <w:szCs w:val="24"/>
          <w:lang w:val="az-Latn-AZ"/>
        </w:rPr>
      </w:pPr>
      <w:r w:rsidRPr="00D43B7C">
        <w:rPr>
          <w:szCs w:val="24"/>
          <w:lang w:val="az-Latn-AZ"/>
        </w:rPr>
        <w:t>(a) cavabdeh dövlət birinci ərizəçiyə Konvensiyanın 44-cü maddəsinin 2-ci bəndinə əsasən bu qərarın qəti qərara çevrildiyi tarixdən sonra üç ay ərzində vurulan qeyri-maddi ziyana görə 2,500 € (iki min beş yüz avro) və məhkəmə xərclərinə görə 10, 000 € (on min avro) ödəməlidir;</w:t>
      </w:r>
    </w:p>
    <w:p w:rsidRPr="00D43B7C" w:rsidR="00334B8D" w:rsidP="00334B8D" w:rsidRDefault="00334B8D">
      <w:pPr>
        <w:jc w:val="both"/>
        <w:rPr>
          <w:szCs w:val="24"/>
          <w:lang w:val="az-Latn-AZ"/>
        </w:rPr>
      </w:pPr>
      <w:r w:rsidRPr="00D43B7C">
        <w:rPr>
          <w:szCs w:val="24"/>
          <w:lang w:val="az-Latn-AZ"/>
        </w:rPr>
        <w:t>(b) yuxarıda qeyd olunan üç aylıq müddət bitdikdən sonra öhdəlik icra edilənə qədər yuxarıda qeyd edilən ödənilməli məbləğlərin üzərinə Avropa Mərkəzi Bankındakı borc dərəcəsinin yuxarı həddinə bərabər olan adi faiz məbləği əlavə olunmalı və onun da üzərinə daha üç faiz əlavə edilməlidir.</w:t>
      </w:r>
    </w:p>
    <w:p w:rsidRPr="00D43B7C" w:rsidR="00334B8D" w:rsidP="00334B8D" w:rsidRDefault="00334B8D">
      <w:pPr>
        <w:jc w:val="both"/>
        <w:rPr>
          <w:szCs w:val="24"/>
          <w:lang w:val="az-Latn-AZ"/>
        </w:rPr>
      </w:pPr>
      <w:r w:rsidRPr="00D43B7C">
        <w:rPr>
          <w:szCs w:val="24"/>
          <w:lang w:val="az-Latn-AZ"/>
        </w:rPr>
        <w:t xml:space="preserve">4. Yekdilliklə əvəzin ədalətli ödənilməsi ilə bağlı ərizəçilərin qalan tələblərini </w:t>
      </w:r>
      <w:r w:rsidRPr="00D43B7C">
        <w:rPr>
          <w:i/>
          <w:szCs w:val="24"/>
          <w:lang w:val="az-Latn-AZ"/>
        </w:rPr>
        <w:t>rədd edir</w:t>
      </w:r>
      <w:r w:rsidRPr="00D43B7C">
        <w:rPr>
          <w:szCs w:val="24"/>
          <w:lang w:val="az-Latn-AZ"/>
        </w:rPr>
        <w:t>.</w:t>
      </w:r>
    </w:p>
    <w:p w:rsidRPr="0018676C" w:rsidR="0018676C" w:rsidP="0018676C" w:rsidRDefault="0018676C">
      <w:pPr>
        <w:pStyle w:val="JuParaLast"/>
        <w:rPr>
          <w:lang w:val="az-Latn-AZ"/>
        </w:rPr>
      </w:pPr>
      <w:r w:rsidRPr="0018676C">
        <w:rPr>
          <w:lang w:val="az-Latn-AZ"/>
        </w:rPr>
        <w:t xml:space="preserve">İngilis dilində hazırlanıb və </w:t>
      </w:r>
      <w:r>
        <w:rPr>
          <w:lang w:val="az-Latn-AZ"/>
        </w:rPr>
        <w:t>16 oktyabr 2007</w:t>
      </w:r>
      <w:r w:rsidR="007E32D6">
        <w:rPr>
          <w:lang w:val="az-Latn-AZ"/>
        </w:rPr>
        <w:t>-ci il tarixində</w:t>
      </w:r>
      <w:r w:rsidRPr="0018676C">
        <w:rPr>
          <w:lang w:val="az-Latn-AZ"/>
        </w:rPr>
        <w:t xml:space="preserve"> Məhkəmə Reqlamentinin 77-ci qaydasının 2-ci və 3-cü bəndinə əsasən yazılı şəkildə açıqlanıb.</w:t>
      </w:r>
    </w:p>
    <w:p w:rsidRPr="00D43B7C" w:rsidR="00334B8D" w:rsidP="0018676C" w:rsidRDefault="0018676C">
      <w:pPr>
        <w:jc w:val="both"/>
        <w:rPr>
          <w:szCs w:val="24"/>
          <w:lang w:val="az-Latn-AZ"/>
        </w:rPr>
      </w:pPr>
      <w:r w:rsidRPr="0018676C">
        <w:rPr>
          <w:lang w:val="az-Latn-AZ"/>
        </w:rPr>
        <w:tab/>
      </w:r>
    </w:p>
    <w:p w:rsidRPr="00D43B7C" w:rsidR="00334B8D" w:rsidP="00334B8D" w:rsidRDefault="00334B8D">
      <w:pPr>
        <w:ind w:left="360"/>
        <w:jc w:val="both"/>
        <w:rPr>
          <w:szCs w:val="24"/>
          <w:lang w:val="az-Latn-AZ"/>
        </w:rPr>
      </w:pPr>
    </w:p>
    <w:p w:rsidRPr="00D43B7C" w:rsidR="00334B8D" w:rsidP="00334B8D" w:rsidRDefault="00334B8D">
      <w:pPr>
        <w:ind w:left="360"/>
        <w:jc w:val="both"/>
        <w:rPr>
          <w:szCs w:val="24"/>
          <w:lang w:val="az-Latn-AZ"/>
        </w:rPr>
      </w:pPr>
      <w:r w:rsidRPr="00D43B7C">
        <w:rPr>
          <w:szCs w:val="24"/>
          <w:lang w:val="az-Latn-AZ"/>
        </w:rPr>
        <w:t xml:space="preserve"> </w:t>
      </w:r>
      <w:r w:rsidRPr="00D43B7C">
        <w:rPr>
          <w:szCs w:val="24"/>
          <w:lang w:val="az-Latn-AZ"/>
        </w:rPr>
        <w:tab/>
      </w:r>
      <w:r w:rsidRPr="00D43B7C">
        <w:rPr>
          <w:szCs w:val="24"/>
          <w:lang w:val="az-Latn-AZ"/>
        </w:rPr>
        <w:tab/>
      </w:r>
      <w:r w:rsidRPr="00D43B7C">
        <w:rPr>
          <w:szCs w:val="24"/>
          <w:lang w:val="az-Latn-AZ"/>
        </w:rPr>
        <w:tab/>
      </w:r>
      <w:r w:rsidRPr="00D43B7C">
        <w:rPr>
          <w:szCs w:val="24"/>
          <w:lang w:val="az-Latn-AZ"/>
        </w:rPr>
        <w:tab/>
      </w:r>
      <w:r w:rsidRPr="00D43B7C">
        <w:rPr>
          <w:szCs w:val="24"/>
          <w:lang w:val="az-Latn-AZ"/>
        </w:rPr>
        <w:tab/>
      </w:r>
      <w:r w:rsidR="00720B0A">
        <w:rPr>
          <w:szCs w:val="24"/>
          <w:lang w:val="az-Latn-AZ"/>
        </w:rPr>
        <w:tab/>
      </w:r>
      <w:r w:rsidR="00720B0A">
        <w:rPr>
          <w:szCs w:val="24"/>
          <w:lang w:val="az-Latn-AZ"/>
        </w:rPr>
        <w:tab/>
      </w:r>
    </w:p>
    <w:p w:rsidR="00E90062" w:rsidP="00334B8D" w:rsidRDefault="00720B0A">
      <w:pPr>
        <w:ind w:left="360"/>
        <w:jc w:val="both"/>
        <w:rPr>
          <w:szCs w:val="24"/>
          <w:lang w:val="az-Latn-AZ"/>
        </w:rPr>
      </w:pPr>
      <w:r>
        <w:rPr>
          <w:szCs w:val="24"/>
          <w:lang w:val="az-Latn-AZ"/>
        </w:rPr>
        <w:t>Lawrence Early</w:t>
      </w:r>
      <w:r w:rsidRPr="00D43B7C" w:rsidR="00334B8D">
        <w:rPr>
          <w:szCs w:val="24"/>
          <w:lang w:val="az-Latn-AZ"/>
        </w:rPr>
        <w:t xml:space="preserve"> </w:t>
      </w:r>
      <w:r w:rsidRPr="00D43B7C" w:rsidR="00334B8D">
        <w:rPr>
          <w:szCs w:val="24"/>
          <w:lang w:val="az-Latn-AZ"/>
        </w:rPr>
        <w:tab/>
      </w:r>
      <w:r w:rsidRPr="00D43B7C" w:rsidR="00334B8D">
        <w:rPr>
          <w:szCs w:val="24"/>
          <w:lang w:val="az-Latn-AZ"/>
        </w:rPr>
        <w:tab/>
      </w:r>
      <w:r w:rsidRPr="00D43B7C" w:rsidR="00334B8D">
        <w:rPr>
          <w:szCs w:val="24"/>
          <w:lang w:val="az-Latn-AZ"/>
        </w:rPr>
        <w:tab/>
      </w:r>
      <w:r w:rsidRPr="00D43B7C" w:rsidR="00334B8D">
        <w:rPr>
          <w:szCs w:val="24"/>
          <w:lang w:val="az-Latn-AZ"/>
        </w:rPr>
        <w:tab/>
      </w:r>
      <w:r w:rsidRPr="00D43B7C" w:rsidR="00334B8D">
        <w:rPr>
          <w:szCs w:val="24"/>
          <w:lang w:val="az-Latn-AZ"/>
        </w:rPr>
        <w:tab/>
      </w:r>
      <w:r>
        <w:rPr>
          <w:szCs w:val="24"/>
          <w:lang w:val="az-Latn-AZ"/>
        </w:rPr>
        <w:t>Nicolas Bratza</w:t>
      </w:r>
      <w:r w:rsidR="00E90062">
        <w:rPr>
          <w:szCs w:val="24"/>
          <w:lang w:val="az-Latn-AZ"/>
        </w:rPr>
        <w:t xml:space="preserve">                    </w:t>
      </w:r>
    </w:p>
    <w:p w:rsidRPr="00D43B7C" w:rsidR="00334B8D" w:rsidP="00334B8D" w:rsidRDefault="00334B8D">
      <w:pPr>
        <w:ind w:left="360"/>
        <w:jc w:val="both"/>
        <w:rPr>
          <w:i/>
          <w:szCs w:val="24"/>
          <w:lang w:val="az-Latn-AZ"/>
        </w:rPr>
      </w:pPr>
      <w:r w:rsidRPr="00D43B7C">
        <w:rPr>
          <w:i/>
          <w:szCs w:val="24"/>
          <w:lang w:val="az-Latn-AZ"/>
        </w:rPr>
        <w:t>Katib</w:t>
      </w:r>
      <w:r w:rsidR="00E90062">
        <w:rPr>
          <w:i/>
          <w:szCs w:val="24"/>
          <w:lang w:val="az-Latn-AZ"/>
        </w:rPr>
        <w:t xml:space="preserve">                 </w:t>
      </w:r>
      <w:r w:rsidR="00A77C80">
        <w:rPr>
          <w:i/>
          <w:szCs w:val="24"/>
          <w:lang w:val="az-Latn-AZ"/>
        </w:rPr>
        <w:t xml:space="preserve"> </w:t>
      </w:r>
      <w:r w:rsidRPr="00D43B7C">
        <w:rPr>
          <w:i/>
          <w:szCs w:val="24"/>
          <w:lang w:val="az-Latn-AZ"/>
        </w:rPr>
        <w:t>Sədr</w:t>
      </w:r>
    </w:p>
    <w:p w:rsidRPr="00D43B7C" w:rsidR="00334B8D" w:rsidP="00334B8D" w:rsidRDefault="00334B8D">
      <w:pPr>
        <w:jc w:val="both"/>
        <w:rPr>
          <w:lang w:val="az-Latn-AZ"/>
        </w:rPr>
      </w:pPr>
    </w:p>
    <w:p w:rsidR="00A77C80" w:rsidRDefault="00AF39BE">
      <w:pPr>
        <w:pStyle w:val="JuPara"/>
        <w:keepNext/>
        <w:keepLines/>
        <w:rPr>
          <w:lang w:val="az-Latn-AZ"/>
        </w:rPr>
      </w:pPr>
      <w:r w:rsidRPr="00D43B7C">
        <w:rPr>
          <w:lang w:val="az-Latn-AZ"/>
        </w:rPr>
        <w:t xml:space="preserve">Konvensiyanın </w:t>
      </w:r>
      <w:r w:rsidRPr="00D43B7C" w:rsidR="000D4F5F">
        <w:rPr>
          <w:lang w:val="az-Latn-AZ"/>
        </w:rPr>
        <w:t>45-ci maddəsinin 2-ci bəndinə və Məhkəmə Reqlamentinin 74-cü Qaydasının 2-ci bəndinə uyğun olaraq, bu qərara Hakimlər Bratsa, Kasadeval və Miyoviçin birgə xüsusi rəyi əlavə olunur.</w:t>
      </w:r>
    </w:p>
    <w:p w:rsidRPr="00D43B7C" w:rsidR="000D4F5F" w:rsidRDefault="000D4F5F">
      <w:pPr>
        <w:pStyle w:val="JuPara"/>
        <w:keepNext/>
        <w:keepLines/>
        <w:rPr>
          <w:lang w:val="az-Latn-AZ"/>
        </w:rPr>
      </w:pPr>
    </w:p>
    <w:p w:rsidRPr="00D43B7C" w:rsidR="000D4F5F" w:rsidRDefault="000D4F5F">
      <w:pPr>
        <w:pStyle w:val="JuPara"/>
        <w:keepNext/>
        <w:keepLines/>
        <w:rPr>
          <w:lang w:val="az-Latn-AZ"/>
        </w:rPr>
      </w:pPr>
      <w:r w:rsidRPr="00D43B7C">
        <w:rPr>
          <w:lang w:val="az-Latn-AZ"/>
        </w:rPr>
        <w:t>N.B.</w:t>
      </w:r>
    </w:p>
    <w:p w:rsidR="000D4F5F" w:rsidRDefault="000D4F5F">
      <w:pPr>
        <w:pStyle w:val="JuPara"/>
        <w:keepNext/>
        <w:keepLines/>
        <w:rPr>
          <w:lang w:val="az-Latn-AZ"/>
        </w:rPr>
      </w:pPr>
      <w:r w:rsidRPr="00D43B7C">
        <w:rPr>
          <w:lang w:val="az-Latn-AZ"/>
        </w:rPr>
        <w:t>T.L.E.</w:t>
      </w:r>
    </w:p>
    <w:p w:rsidR="00607036" w:rsidRDefault="00607036">
      <w:pPr>
        <w:pStyle w:val="JuPara"/>
        <w:keepNext/>
        <w:keepLines/>
        <w:rPr>
          <w:lang w:val="az-Latn-AZ"/>
        </w:rPr>
      </w:pPr>
    </w:p>
    <w:p w:rsidR="00607036" w:rsidRDefault="00607036">
      <w:pPr>
        <w:pStyle w:val="JuPara"/>
        <w:keepNext/>
        <w:keepLines/>
        <w:rPr>
          <w:lang w:val="az-Latn-AZ"/>
        </w:rPr>
      </w:pPr>
    </w:p>
    <w:p w:rsidR="00607036" w:rsidRDefault="00607036">
      <w:pPr>
        <w:pStyle w:val="JuPara"/>
        <w:keepNext/>
        <w:keepLines/>
        <w:rPr>
          <w:lang w:val="az-Latn-AZ"/>
        </w:rPr>
      </w:pPr>
    </w:p>
    <w:p w:rsidR="00607036" w:rsidP="00607036" w:rsidRDefault="00607036">
      <w:pPr>
        <w:pStyle w:val="NormalWeb"/>
        <w:ind w:left="706" w:right="403" w:firstLine="3"/>
        <w:jc w:val="both"/>
        <w:rPr>
          <w:b/>
          <w:sz w:val="20"/>
          <w:szCs w:val="20"/>
        </w:rPr>
      </w:pPr>
      <w:r w:rsidRPr="00A158AA">
        <w:rPr>
          <w:b/>
          <w:sz w:val="20"/>
          <w:szCs w:val="20"/>
        </w:rPr>
        <w:t>©</w:t>
      </w:r>
      <w:r>
        <w:rPr>
          <w:b/>
          <w:sz w:val="20"/>
          <w:szCs w:val="20"/>
        </w:rPr>
        <w:t>Avropa Şurası/Avropa İnsan Hüquqları Məhkəməsi, 2012</w:t>
      </w:r>
      <w:r w:rsidR="00E90062">
        <w:rPr>
          <w:b/>
          <w:sz w:val="20"/>
          <w:szCs w:val="20"/>
        </w:rPr>
        <w:t>.</w:t>
      </w:r>
    </w:p>
    <w:p w:rsidRPr="00A158AA" w:rsidR="00607036" w:rsidP="00607036" w:rsidRDefault="00607036">
      <w:pPr>
        <w:pStyle w:val="NormalWeb"/>
        <w:ind w:left="709" w:right="403"/>
        <w:jc w:val="both"/>
        <w:rPr>
          <w:sz w:val="20"/>
          <w:szCs w:val="20"/>
        </w:rPr>
      </w:pPr>
      <w:r w:rsidRPr="00995212">
        <w:rPr>
          <w:sz w:val="20"/>
          <w:szCs w:val="20"/>
        </w:rPr>
        <w:t xml:space="preserve">Avropa </w:t>
      </w:r>
      <w:r>
        <w:rPr>
          <w:sz w:val="20"/>
          <w:szCs w:val="20"/>
        </w:rPr>
        <w:t xml:space="preserve">İnsan Hüquqları Məhkəməsinin rəsmi dilləri ingilis və fransız dilləridir. Bu tərcümə Avropa Şurasının İnsan Hüquqları üzrə Etibar Fondunun dəstəyi ilə həyata keçirilib </w:t>
      </w:r>
      <w:r w:rsidRPr="00A158AA">
        <w:rPr>
          <w:sz w:val="20"/>
          <w:szCs w:val="20"/>
        </w:rPr>
        <w:t>(</w:t>
      </w:r>
      <w:hyperlink w:history="1" r:id="rId12">
        <w:r w:rsidRPr="00A158AA">
          <w:rPr>
            <w:rStyle w:val="Hyperlink"/>
            <w:bCs/>
            <w:sz w:val="20"/>
            <w:szCs w:val="20"/>
          </w:rPr>
          <w:t>www.coe.int/humanrightstrustfund</w:t>
        </w:r>
      </w:hyperlink>
      <w:r w:rsidRPr="00A158AA">
        <w:rPr>
          <w:sz w:val="20"/>
          <w:szCs w:val="20"/>
        </w:rPr>
        <w:t>).</w:t>
      </w:r>
      <w:r>
        <w:rPr>
          <w:sz w:val="20"/>
          <w:szCs w:val="20"/>
        </w:rPr>
        <w:t xml:space="preserve"> Məhkəmə tərcüməyə və onun keyfiyyətinə görə heç bir məsuliyyət daşımır. Tərcüməni Avropa İnsan Hüquqları Məhkəməsinin presedent hüququnu təşkil edən işlərin daxil olduğu HUDOC məlumat bazasından </w:t>
      </w:r>
      <w:r w:rsidRPr="00A158AA">
        <w:rPr>
          <w:sz w:val="20"/>
          <w:szCs w:val="20"/>
        </w:rPr>
        <w:t>(</w:t>
      </w:r>
      <w:hyperlink w:history="1" r:id="rId13">
        <w:r w:rsidRPr="00A158AA">
          <w:rPr>
            <w:rStyle w:val="Hyperlink"/>
            <w:sz w:val="20"/>
          </w:rPr>
          <w:t>http://hudoc.echr.coe.int</w:t>
        </w:r>
      </w:hyperlink>
      <w:r w:rsidRPr="00A158AA">
        <w:rPr>
          <w:sz w:val="20"/>
        </w:rPr>
        <w:t>)</w:t>
      </w:r>
      <w:r>
        <w:rPr>
          <w:sz w:val="20"/>
        </w:rPr>
        <w:t xml:space="preserve"> və ya Məhkəmənin razılığı ilə</w:t>
      </w:r>
      <w:r w:rsidR="00A77C80">
        <w:rPr>
          <w:sz w:val="20"/>
        </w:rPr>
        <w:t xml:space="preserve"> </w:t>
      </w:r>
      <w:r>
        <w:rPr>
          <w:sz w:val="20"/>
        </w:rPr>
        <w:t>yerləşdirilən</w:t>
      </w:r>
      <w:r w:rsidR="00A77C80">
        <w:rPr>
          <w:sz w:val="20"/>
        </w:rPr>
        <w:t xml:space="preserve"> </w:t>
      </w:r>
      <w:r>
        <w:rPr>
          <w:sz w:val="20"/>
        </w:rPr>
        <w:t xml:space="preserve">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history="1" r:id="rId14">
        <w:r w:rsidRPr="00A158AA">
          <w:rPr>
            <w:rStyle w:val="Hyperlink"/>
            <w:sz w:val="20"/>
            <w:szCs w:val="20"/>
          </w:rPr>
          <w:t>publishing@echr.coe.int</w:t>
        </w:r>
      </w:hyperlink>
      <w:r w:rsidRPr="00A158AA">
        <w:rPr>
          <w:sz w:val="20"/>
          <w:szCs w:val="20"/>
        </w:rPr>
        <w:t>.</w:t>
      </w:r>
    </w:p>
    <w:p w:rsidR="00E90062" w:rsidP="00607036" w:rsidRDefault="00607036">
      <w:pPr>
        <w:pStyle w:val="NormalWeb"/>
        <w:ind w:left="706" w:right="403" w:firstLine="3"/>
        <w:jc w:val="both"/>
        <w:rPr>
          <w:sz w:val="20"/>
        </w:rPr>
      </w:pPr>
      <w:r>
        <w:rPr>
          <w:sz w:val="20"/>
        </w:rPr>
        <w:t>.</w:t>
      </w:r>
      <w:r w:rsidR="00E90062">
        <w:rPr>
          <w:sz w:val="20"/>
        </w:rPr>
        <w:t xml:space="preserve"> </w:t>
      </w:r>
    </w:p>
    <w:p w:rsidR="00607036" w:rsidP="00607036" w:rsidRDefault="00607036">
      <w:pPr>
        <w:pStyle w:val="NormalWeb"/>
        <w:ind w:left="706" w:right="403" w:firstLine="3"/>
        <w:jc w:val="both"/>
        <w:rPr>
          <w:b/>
          <w:sz w:val="20"/>
          <w:szCs w:val="20"/>
        </w:rPr>
      </w:pPr>
    </w:p>
    <w:p w:rsidRPr="00A158AA" w:rsidR="00607036" w:rsidP="00607036" w:rsidRDefault="00607036">
      <w:pPr>
        <w:pStyle w:val="NormalWeb"/>
        <w:ind w:left="706" w:right="403" w:firstLine="3"/>
        <w:jc w:val="both"/>
        <w:rPr>
          <w:b/>
          <w:sz w:val="20"/>
          <w:szCs w:val="20"/>
        </w:rPr>
      </w:pPr>
      <w:r w:rsidRPr="00A158AA">
        <w:rPr>
          <w:b/>
          <w:sz w:val="20"/>
          <w:szCs w:val="20"/>
        </w:rPr>
        <w:t>© Council of Europe/European Court of Human Rights, 2012.</w:t>
      </w:r>
    </w:p>
    <w:p w:rsidRPr="00A158AA" w:rsidR="00607036" w:rsidP="00607036" w:rsidRDefault="00607036">
      <w:pPr>
        <w:pStyle w:val="NormalWeb"/>
        <w:ind w:left="709" w:right="403"/>
        <w:jc w:val="both"/>
        <w:rPr>
          <w:sz w:val="20"/>
          <w:szCs w:val="20"/>
        </w:rPr>
      </w:pPr>
      <w:r w:rsidRPr="00A158AA">
        <w:rPr>
          <w:sz w:val="20"/>
          <w:szCs w:val="20"/>
        </w:rPr>
        <w:t>The official languages of the European Court of Human Rights are English and French. This translation was commissioned with the support of the Human Rights Trust Fund of the Council of Europe (</w:t>
      </w:r>
      <w:hyperlink w:history="1" r:id="rId15">
        <w:r w:rsidRPr="00A158AA">
          <w:rPr>
            <w:rStyle w:val="Hyperlink"/>
            <w:bCs/>
            <w:sz w:val="20"/>
            <w:szCs w:val="20"/>
          </w:rPr>
          <w:t>www.coe.int/</w:t>
        </w:r>
        <w:r w:rsidRPr="00A158AA">
          <w:rPr>
            <w:rStyle w:val="Hyperlink"/>
            <w:bCs/>
            <w:sz w:val="20"/>
            <w:szCs w:val="20"/>
          </w:rPr>
          <w:t>h</w:t>
        </w:r>
        <w:r w:rsidRPr="00A158AA">
          <w:rPr>
            <w:rStyle w:val="Hyperlink"/>
            <w:bCs/>
            <w:sz w:val="20"/>
            <w:szCs w:val="20"/>
          </w:rPr>
          <w:t>u</w:t>
        </w:r>
        <w:r w:rsidRPr="00A158AA">
          <w:rPr>
            <w:rStyle w:val="Hyperlink"/>
            <w:bCs/>
            <w:sz w:val="20"/>
            <w:szCs w:val="20"/>
          </w:rPr>
          <w:t>m</w:t>
        </w:r>
        <w:r w:rsidRPr="00A158AA">
          <w:rPr>
            <w:rStyle w:val="Hyperlink"/>
            <w:bCs/>
            <w:sz w:val="20"/>
            <w:szCs w:val="20"/>
          </w:rPr>
          <w:t>anrightstr</w:t>
        </w:r>
        <w:r w:rsidRPr="00A158AA">
          <w:rPr>
            <w:rStyle w:val="Hyperlink"/>
            <w:bCs/>
            <w:sz w:val="20"/>
            <w:szCs w:val="20"/>
          </w:rPr>
          <w:t>u</w:t>
        </w:r>
        <w:r w:rsidRPr="00A158AA">
          <w:rPr>
            <w:rStyle w:val="Hyperlink"/>
            <w:bCs/>
            <w:sz w:val="20"/>
            <w:szCs w:val="20"/>
          </w:rPr>
          <w:t>stfund</w:t>
        </w:r>
      </w:hyperlink>
      <w:r w:rsidRPr="00A158AA">
        <w:rPr>
          <w:sz w:val="20"/>
          <w:szCs w:val="20"/>
        </w:rPr>
        <w:t>). It does not bind the Court, nor does the Court take any responsibility for the quality thereof. It may be downloaded from the HUDOC case-law database of the European Court of Human Rights (</w:t>
      </w:r>
      <w:hyperlink w:history="1" r:id="rId16">
        <w:r w:rsidRPr="00A158AA">
          <w:rPr>
            <w:rStyle w:val="Hyperlink"/>
            <w:sz w:val="20"/>
          </w:rPr>
          <w:t>http://hudoc.echr.coe</w:t>
        </w:r>
        <w:r w:rsidRPr="00A158AA">
          <w:rPr>
            <w:rStyle w:val="Hyperlink"/>
            <w:sz w:val="20"/>
          </w:rPr>
          <w:t>.</w:t>
        </w:r>
        <w:r w:rsidRPr="00A158AA">
          <w:rPr>
            <w:rStyle w:val="Hyperlink"/>
            <w:sz w:val="20"/>
          </w:rPr>
          <w:t>int</w:t>
        </w:r>
      </w:hyperlink>
      <w:r w:rsidRPr="00A158AA">
        <w:rPr>
          <w:sz w:val="20"/>
        </w:rPr>
        <w:t>) o</w:t>
      </w:r>
      <w:r w:rsidRPr="00A158AA">
        <w:rPr>
          <w:sz w:val="20"/>
          <w:szCs w:val="20"/>
        </w:rPr>
        <w:t xml:space="preserve">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7">
        <w:r w:rsidRPr="00A158AA">
          <w:rPr>
            <w:rStyle w:val="Hyperlink"/>
            <w:sz w:val="20"/>
            <w:szCs w:val="20"/>
          </w:rPr>
          <w:t>publishing@echr.coe.int</w:t>
        </w:r>
      </w:hyperlink>
      <w:r w:rsidRPr="00A158AA">
        <w:rPr>
          <w:sz w:val="20"/>
          <w:szCs w:val="20"/>
        </w:rPr>
        <w:t>.</w:t>
      </w:r>
    </w:p>
    <w:p w:rsidR="00E90062" w:rsidP="00607036" w:rsidRDefault="00607036">
      <w:pPr>
        <w:ind w:left="709" w:right="403"/>
        <w:jc w:val="both"/>
        <w:rPr>
          <w:b/>
          <w:sz w:val="20"/>
          <w:lang w:val="fr-FR"/>
        </w:rPr>
      </w:pPr>
      <w:r w:rsidRPr="00E90062">
        <w:rPr>
          <w:b/>
          <w:sz w:val="20"/>
          <w:lang w:val="fr-FR"/>
        </w:rPr>
        <w:t>© Conseil de l</w:t>
      </w:r>
      <w:r w:rsidR="00E90062">
        <w:rPr>
          <w:b/>
          <w:sz w:val="20"/>
          <w:lang w:val="fr-FR"/>
        </w:rPr>
        <w:t>’</w:t>
      </w:r>
      <w:r w:rsidRPr="00E90062">
        <w:rPr>
          <w:b/>
          <w:sz w:val="20"/>
          <w:lang w:val="fr-FR"/>
        </w:rPr>
        <w:t>Europe/Cour européenne des droits de l</w:t>
      </w:r>
      <w:r w:rsidR="00E90062">
        <w:rPr>
          <w:b/>
          <w:sz w:val="20"/>
          <w:lang w:val="fr-FR"/>
        </w:rPr>
        <w:t>’</w:t>
      </w:r>
      <w:r w:rsidRPr="00E90062">
        <w:rPr>
          <w:b/>
          <w:sz w:val="20"/>
          <w:lang w:val="fr-FR"/>
        </w:rPr>
        <w:t>ho</w:t>
      </w:r>
      <w:r w:rsidR="00E90062">
        <w:rPr>
          <w:b/>
          <w:sz w:val="20"/>
          <w:lang w:val="fr-FR"/>
        </w:rPr>
        <w:t>mme, 2012.</w:t>
      </w:r>
    </w:p>
    <w:p w:rsidR="00E90062" w:rsidP="00607036" w:rsidRDefault="00E90062">
      <w:pPr>
        <w:ind w:left="709" w:right="403"/>
        <w:jc w:val="both"/>
        <w:rPr>
          <w:b/>
          <w:sz w:val="20"/>
          <w:lang w:val="fr-FR"/>
        </w:rPr>
      </w:pPr>
    </w:p>
    <w:p w:rsidRPr="00E90062" w:rsidR="00A77C80" w:rsidP="00607036" w:rsidRDefault="00607036">
      <w:pPr>
        <w:ind w:left="709" w:right="403"/>
        <w:jc w:val="both"/>
        <w:rPr>
          <w:sz w:val="20"/>
          <w:lang w:val="fr-FR"/>
        </w:rPr>
      </w:pPr>
      <w:r w:rsidRPr="00E90062">
        <w:rPr>
          <w:sz w:val="20"/>
          <w:lang w:val="fr-FR"/>
        </w:rPr>
        <w:t>Les langues officielles de la Cour européenne des droits de l</w:t>
      </w:r>
      <w:r w:rsidR="00E90062">
        <w:rPr>
          <w:sz w:val="20"/>
          <w:lang w:val="fr-FR"/>
        </w:rPr>
        <w:t>’</w:t>
      </w:r>
      <w:r w:rsidRPr="00E90062">
        <w:rPr>
          <w:sz w:val="20"/>
          <w:lang w:val="fr-FR"/>
        </w:rPr>
        <w:t>homme sont le français et l</w:t>
      </w:r>
      <w:r w:rsidR="00E90062">
        <w:rPr>
          <w:sz w:val="20"/>
          <w:lang w:val="fr-FR"/>
        </w:rPr>
        <w:t>’</w:t>
      </w:r>
      <w:r w:rsidRPr="00E90062">
        <w:rPr>
          <w:sz w:val="20"/>
          <w:lang w:val="fr-FR"/>
        </w:rPr>
        <w:t>anglais. La présente traduction a été effectuée avec le soutien du Fonds fiduciaire pour les droits de l</w:t>
      </w:r>
      <w:r w:rsidR="00E90062">
        <w:rPr>
          <w:sz w:val="20"/>
          <w:lang w:val="fr-FR"/>
        </w:rPr>
        <w:t>’</w:t>
      </w:r>
      <w:r w:rsidRPr="00E90062">
        <w:rPr>
          <w:sz w:val="20"/>
          <w:lang w:val="fr-FR"/>
        </w:rPr>
        <w:t>homme du Conseil de l</w:t>
      </w:r>
      <w:r w:rsidR="00E90062">
        <w:rPr>
          <w:sz w:val="20"/>
          <w:lang w:val="fr-FR"/>
        </w:rPr>
        <w:t>’</w:t>
      </w:r>
      <w:r w:rsidRPr="00E90062">
        <w:rPr>
          <w:sz w:val="20"/>
          <w:lang w:val="fr-FR"/>
        </w:rPr>
        <w:t>Europe (</w:t>
      </w:r>
      <w:hyperlink w:tooltip="http://www.coe.int/humanrightstrustfund" w:history="1" r:id="rId18">
        <w:r w:rsidRPr="00E90062">
          <w:rPr>
            <w:rStyle w:val="Hyperlink"/>
            <w:bCs/>
            <w:sz w:val="20"/>
            <w:lang w:val="fr-FR"/>
          </w:rPr>
          <w:t>www.coe.int/humanrightstrustfund</w:t>
        </w:r>
      </w:hyperlink>
      <w:r w:rsidRPr="00E90062">
        <w:rPr>
          <w:sz w:val="20"/>
          <w:lang w:val="fr-FR"/>
        </w:rPr>
        <w:t>). Elle ne lie pas la Cour, et celle-ci décline toute responsabilité quant à sa qualité. Elle peut être téléchargée à partir de HUDOC, la base de jurisprudence de la Cour européenne des droits de l</w:t>
      </w:r>
      <w:r w:rsidR="00E90062">
        <w:rPr>
          <w:sz w:val="20"/>
          <w:lang w:val="fr-FR"/>
        </w:rPr>
        <w:t>’</w:t>
      </w:r>
      <w:r w:rsidRPr="00E90062">
        <w:rPr>
          <w:sz w:val="20"/>
          <w:lang w:val="fr-FR"/>
        </w:rPr>
        <w:t>homme (</w:t>
      </w:r>
      <w:hyperlink w:tooltip="http://hudoc.echr.coe.int/" w:history="1" r:id="rId19">
        <w:r w:rsidRPr="00E90062">
          <w:rPr>
            <w:rStyle w:val="Hyperlink"/>
            <w:sz w:val="20"/>
            <w:lang w:val="fr-FR"/>
          </w:rPr>
          <w:t>http://hudoc.echr.coe.int</w:t>
        </w:r>
      </w:hyperlink>
      <w:r w:rsidRPr="00E90062">
        <w:rPr>
          <w:sz w:val="20"/>
          <w:lang w:val="fr-FR"/>
        </w:rPr>
        <w:t>), ou de toute autre base de données à laquelle HUDOC l</w:t>
      </w:r>
      <w:r w:rsidR="00E90062">
        <w:rPr>
          <w:sz w:val="20"/>
          <w:lang w:val="fr-FR"/>
        </w:rPr>
        <w:t>’</w:t>
      </w:r>
      <w:r w:rsidRPr="00E90062">
        <w:rPr>
          <w:sz w:val="20"/>
          <w:lang w:val="fr-FR"/>
        </w:rPr>
        <w:t>a communiquée. Elle peut être reproduite à des fins non commerciales, sous réserve que le titre de l</w:t>
      </w:r>
      <w:r w:rsidR="00E90062">
        <w:rPr>
          <w:sz w:val="20"/>
          <w:lang w:val="fr-FR"/>
        </w:rPr>
        <w:t>’</w:t>
      </w:r>
      <w:r w:rsidRPr="00E90062">
        <w:rPr>
          <w:sz w:val="20"/>
          <w:lang w:val="fr-FR"/>
        </w:rPr>
        <w:t>affaire soit cité en entier et s</w:t>
      </w:r>
      <w:r w:rsidR="00E90062">
        <w:rPr>
          <w:sz w:val="20"/>
          <w:lang w:val="fr-FR"/>
        </w:rPr>
        <w:t>’</w:t>
      </w:r>
      <w:r w:rsidRPr="00E90062">
        <w:rPr>
          <w:sz w:val="20"/>
          <w:lang w:val="fr-FR"/>
        </w:rPr>
        <w:t>accompagne de l</w:t>
      </w:r>
      <w:r w:rsidR="00E90062">
        <w:rPr>
          <w:sz w:val="20"/>
          <w:lang w:val="fr-FR"/>
        </w:rPr>
        <w:t>’</w:t>
      </w:r>
      <w:r w:rsidRPr="00E90062">
        <w:rPr>
          <w:sz w:val="20"/>
          <w:lang w:val="fr-FR"/>
        </w:rPr>
        <w:t>indication de copyright ci-dessus ainsi que de la référence au Fonds fiduciaire pour les droits de l</w:t>
      </w:r>
      <w:r w:rsidR="00E90062">
        <w:rPr>
          <w:sz w:val="20"/>
          <w:lang w:val="fr-FR"/>
        </w:rPr>
        <w:t>’</w:t>
      </w:r>
      <w:r w:rsidRPr="00E90062">
        <w:rPr>
          <w:sz w:val="20"/>
          <w:lang w:val="fr-FR"/>
        </w:rPr>
        <w:t>homme. Toute personne souhaitant se servir de tout ou partie de la présente traduction à des fins commerciales est invitée à le signaler à l</w:t>
      </w:r>
      <w:r w:rsidR="00E90062">
        <w:rPr>
          <w:sz w:val="20"/>
          <w:lang w:val="fr-FR"/>
        </w:rPr>
        <w:t>’</w:t>
      </w:r>
      <w:r w:rsidRPr="00E90062">
        <w:rPr>
          <w:sz w:val="20"/>
          <w:lang w:val="fr-FR"/>
        </w:rPr>
        <w:t xml:space="preserve">adresse suivante : </w:t>
      </w:r>
      <w:hyperlink w:tooltip="mailto:publishing@echr.coe.int" w:history="1" r:id="rId20">
        <w:r w:rsidRPr="00E90062">
          <w:rPr>
            <w:rStyle w:val="Hyperlink"/>
            <w:sz w:val="20"/>
            <w:lang w:val="fr-FR"/>
          </w:rPr>
          <w:t>publishing@echr.coe.int</w:t>
        </w:r>
      </w:hyperlink>
    </w:p>
    <w:p w:rsidRPr="00995212" w:rsidR="00607036" w:rsidP="00607036" w:rsidRDefault="00607036">
      <w:pPr>
        <w:pStyle w:val="JuPara"/>
        <w:rPr>
          <w:lang w:val="az-Latn-AZ"/>
        </w:rPr>
      </w:pPr>
    </w:p>
    <w:p w:rsidRPr="00E90062" w:rsidR="00607036" w:rsidP="00607036" w:rsidRDefault="00607036">
      <w:pPr>
        <w:rPr>
          <w:lang w:val="fr-FR"/>
        </w:rPr>
      </w:pPr>
    </w:p>
    <w:p w:rsidRPr="00E90062" w:rsidR="00607036" w:rsidRDefault="00607036">
      <w:pPr>
        <w:pStyle w:val="JuPara"/>
        <w:keepNext/>
        <w:keepLines/>
        <w:rPr>
          <w:lang w:val="fr-FR"/>
        </w:rPr>
      </w:pPr>
    </w:p>
    <w:sectPr w:rsidRPr="00E90062" w:rsidR="00607036">
      <w:headerReference w:type="even" r:id="rId21"/>
      <w:headerReference w:type="default" r:id="rId22"/>
      <w:footnotePr>
        <w:numRestart w:val="eachPage"/>
      </w:foot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EB" w:rsidRDefault="00F636EB">
      <w:r>
        <w:separator/>
      </w:r>
    </w:p>
  </w:endnote>
  <w:endnote w:type="continuationSeparator" w:id="0">
    <w:p w:rsidR="00F636EB" w:rsidRDefault="00F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EB" w:rsidRDefault="00F636EB">
      <w:r>
        <w:separator/>
      </w:r>
    </w:p>
  </w:footnote>
  <w:footnote w:type="continuationSeparator" w:id="0">
    <w:p w:rsidR="00F636EB" w:rsidRDefault="00F6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EB" w:rsidRPr="003E3402" w:rsidRDefault="00F636EB" w:rsidP="00F636EB">
    <w:pPr>
      <w:pStyle w:val="Header"/>
      <w:jc w:val="center"/>
      <w:rPr>
        <w:lang w:val="de-DE"/>
      </w:rPr>
    </w:pPr>
  </w:p>
  <w:p w:rsidR="00F636EB" w:rsidRDefault="00F6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EB" w:rsidRDefault="00F636E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F636EB" w:rsidRPr="000911D8" w:rsidRDefault="00F636EB" w:rsidP="00572165">
    <w:pPr>
      <w:pStyle w:val="JuHeader"/>
      <w:jc w:val="cent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EB" w:rsidRPr="003E3402" w:rsidRDefault="00F636EB" w:rsidP="00F636EB">
    <w:pPr>
      <w:pStyle w:val="Header"/>
      <w:jc w:val="center"/>
      <w:rPr>
        <w:lang w:val="de-DE"/>
      </w:rPr>
    </w:pPr>
    <w:r>
      <w:rPr>
        <w:lang w:val="de-DE"/>
      </w:rPr>
      <w:tab/>
    </w:r>
    <w:r w:rsidRPr="003E3402">
      <w:rPr>
        <w:lang w:val="de-DE"/>
      </w:rPr>
      <w:t>WIESE</w:t>
    </w:r>
    <w:r>
      <w:rPr>
        <w:lang w:val="de-DE"/>
      </w:rPr>
      <w:t xml:space="preserve">R AND BICOS BETEILUNGEN GMBH </w:t>
    </w:r>
    <w:r w:rsidRPr="003E3402">
      <w:rPr>
        <w:lang w:val="de-DE"/>
      </w:rPr>
      <w:t>A</w:t>
    </w:r>
    <w:r>
      <w:rPr>
        <w:lang w:val="de-DE"/>
      </w:rPr>
      <w:t>V</w:t>
    </w:r>
    <w:r w:rsidRPr="003E3402">
      <w:rPr>
        <w:lang w:val="de-DE"/>
      </w:rPr>
      <w:t>STRI</w:t>
    </w:r>
    <w:r>
      <w:rPr>
        <w:lang w:val="de-DE"/>
      </w:rPr>
      <w:t>Y</w:t>
    </w:r>
    <w:r w:rsidRPr="003E3402">
      <w:rPr>
        <w:lang w:val="de-DE"/>
      </w:rPr>
      <w:t>A</w:t>
    </w:r>
    <w:r>
      <w:rPr>
        <w:lang w:val="de-DE"/>
      </w:rPr>
      <w:t>YA QARŞI</w:t>
    </w:r>
    <w:r>
      <w:rPr>
        <w:lang w:val="de-DE"/>
      </w:rPr>
      <w:tab/>
    </w:r>
    <w:r>
      <w:rPr>
        <w:rStyle w:val="PageNumber"/>
      </w:rPr>
      <w:fldChar w:fldCharType="begin"/>
    </w:r>
    <w:r>
      <w:rPr>
        <w:rStyle w:val="PageNumber"/>
      </w:rPr>
      <w:instrText xml:space="preserve"> PAGE </w:instrText>
    </w:r>
    <w:r>
      <w:rPr>
        <w:rStyle w:val="PageNumber"/>
      </w:rPr>
      <w:fldChar w:fldCharType="separate"/>
    </w:r>
    <w:r w:rsidR="00E90062">
      <w:rPr>
        <w:rStyle w:val="PageNumber"/>
        <w:noProof/>
      </w:rPr>
      <w:t>18</w:t>
    </w:r>
    <w:r>
      <w:rPr>
        <w:rStyle w:val="PageNumber"/>
      </w:rPr>
      <w:fldChar w:fldCharType="end"/>
    </w:r>
  </w:p>
  <w:p w:rsidR="00F636EB" w:rsidRDefault="00F636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EB" w:rsidRPr="003E3402" w:rsidRDefault="00F636EB" w:rsidP="00F636EB">
    <w:pPr>
      <w:pStyle w:val="Header"/>
      <w:rPr>
        <w:lang w:val="de-DE"/>
      </w:rPr>
    </w:pPr>
    <w:r>
      <w:rPr>
        <w:rStyle w:val="PageNumber"/>
      </w:rPr>
      <w:fldChar w:fldCharType="begin"/>
    </w:r>
    <w:r>
      <w:rPr>
        <w:rStyle w:val="PageNumber"/>
      </w:rPr>
      <w:instrText xml:space="preserve"> PAGE </w:instrText>
    </w:r>
    <w:r>
      <w:rPr>
        <w:rStyle w:val="PageNumber"/>
      </w:rPr>
      <w:fldChar w:fldCharType="separate"/>
    </w:r>
    <w:r w:rsidR="00E90062">
      <w:rPr>
        <w:rStyle w:val="PageNumber"/>
        <w:noProof/>
      </w:rPr>
      <w:t>17</w:t>
    </w:r>
    <w:r>
      <w:rPr>
        <w:rStyle w:val="PageNumber"/>
      </w:rPr>
      <w:fldChar w:fldCharType="end"/>
    </w:r>
    <w:r>
      <w:rPr>
        <w:rStyle w:val="PageNumber"/>
      </w:rPr>
      <w:tab/>
    </w:r>
    <w:r w:rsidRPr="003E3402">
      <w:rPr>
        <w:lang w:val="de-DE"/>
      </w:rPr>
      <w:t>WIESE</w:t>
    </w:r>
    <w:r>
      <w:rPr>
        <w:lang w:val="de-DE"/>
      </w:rPr>
      <w:t>R AND BICOS</w:t>
    </w:r>
    <w:r>
      <w:rPr>
        <w:lang w:val="de-DE"/>
      </w:rPr>
      <w:t xml:space="preserve"> BETEILUNGEN GMBH </w:t>
    </w:r>
    <w:r w:rsidRPr="003E3402">
      <w:rPr>
        <w:lang w:val="de-DE"/>
      </w:rPr>
      <w:t>A</w:t>
    </w:r>
    <w:r>
      <w:rPr>
        <w:lang w:val="de-DE"/>
      </w:rPr>
      <w:t>V</w:t>
    </w:r>
    <w:r w:rsidRPr="003E3402">
      <w:rPr>
        <w:lang w:val="de-DE"/>
      </w:rPr>
      <w:t>STRI</w:t>
    </w:r>
    <w:r>
      <w:rPr>
        <w:lang w:val="de-DE"/>
      </w:rPr>
      <w:t>Y</w:t>
    </w:r>
    <w:r w:rsidRPr="003E3402">
      <w:rPr>
        <w:lang w:val="de-DE"/>
      </w:rPr>
      <w:t>A</w:t>
    </w:r>
    <w:r>
      <w:rPr>
        <w:lang w:val="de-DE"/>
      </w:rPr>
      <w:t>YA QARŞI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0E38F8"/>
    <w:multiLevelType w:val="hybridMultilevel"/>
    <w:tmpl w:val="3F4E06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2"/>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3"/>
  </w:num>
  <w:num w:numId="17">
    <w:abstractNumId w:val="22"/>
  </w:num>
  <w:num w:numId="18">
    <w:abstractNumId w:val="29"/>
  </w:num>
  <w:num w:numId="19">
    <w:abstractNumId w:val="27"/>
  </w:num>
  <w:num w:numId="20">
    <w:abstractNumId w:val="11"/>
  </w:num>
  <w:num w:numId="21">
    <w:abstractNumId w:val="24"/>
  </w:num>
  <w:num w:numId="22">
    <w:abstractNumId w:val="16"/>
  </w:num>
  <w:num w:numId="23">
    <w:abstractNumId w:val="18"/>
  </w:num>
  <w:num w:numId="24">
    <w:abstractNumId w:val="6"/>
  </w:num>
  <w:num w:numId="25">
    <w:abstractNumId w:val="8"/>
  </w:num>
  <w:num w:numId="26">
    <w:abstractNumId w:val="30"/>
  </w:num>
  <w:num w:numId="27">
    <w:abstractNumId w:val="15"/>
  </w:num>
  <w:num w:numId="28">
    <w:abstractNumId w:val="19"/>
  </w:num>
  <w:num w:numId="29">
    <w:abstractNumId w:val="17"/>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1D8"/>
    <w:rsid w:val="0000312E"/>
    <w:rsid w:val="00010832"/>
    <w:rsid w:val="00013E94"/>
    <w:rsid w:val="000151CB"/>
    <w:rsid w:val="000278F2"/>
    <w:rsid w:val="000338EC"/>
    <w:rsid w:val="00033928"/>
    <w:rsid w:val="000454F9"/>
    <w:rsid w:val="00045D07"/>
    <w:rsid w:val="00050BA7"/>
    <w:rsid w:val="0005328B"/>
    <w:rsid w:val="000751F8"/>
    <w:rsid w:val="000852BE"/>
    <w:rsid w:val="000871AC"/>
    <w:rsid w:val="0009019F"/>
    <w:rsid w:val="000911D8"/>
    <w:rsid w:val="00096A82"/>
    <w:rsid w:val="000B00B0"/>
    <w:rsid w:val="000B59C2"/>
    <w:rsid w:val="000B775E"/>
    <w:rsid w:val="000B7AD6"/>
    <w:rsid w:val="000C39D1"/>
    <w:rsid w:val="000C4DE3"/>
    <w:rsid w:val="000D4F5F"/>
    <w:rsid w:val="000E0876"/>
    <w:rsid w:val="000E53AE"/>
    <w:rsid w:val="000E7915"/>
    <w:rsid w:val="000F12E1"/>
    <w:rsid w:val="000F1596"/>
    <w:rsid w:val="00100A31"/>
    <w:rsid w:val="00103BC3"/>
    <w:rsid w:val="0011100B"/>
    <w:rsid w:val="00113FC8"/>
    <w:rsid w:val="00114F88"/>
    <w:rsid w:val="0012123E"/>
    <w:rsid w:val="00124F56"/>
    <w:rsid w:val="001270BB"/>
    <w:rsid w:val="001278BD"/>
    <w:rsid w:val="0013174E"/>
    <w:rsid w:val="00140FF7"/>
    <w:rsid w:val="001512C8"/>
    <w:rsid w:val="0015324E"/>
    <w:rsid w:val="00154FB3"/>
    <w:rsid w:val="00155C65"/>
    <w:rsid w:val="001602F8"/>
    <w:rsid w:val="00176A92"/>
    <w:rsid w:val="0018676C"/>
    <w:rsid w:val="001947F9"/>
    <w:rsid w:val="00196957"/>
    <w:rsid w:val="001969BC"/>
    <w:rsid w:val="001974F9"/>
    <w:rsid w:val="001B493E"/>
    <w:rsid w:val="001C0565"/>
    <w:rsid w:val="001C1A36"/>
    <w:rsid w:val="001D414A"/>
    <w:rsid w:val="001D6737"/>
    <w:rsid w:val="001D7B1C"/>
    <w:rsid w:val="001E098C"/>
    <w:rsid w:val="001E11E2"/>
    <w:rsid w:val="001E3ED0"/>
    <w:rsid w:val="001F1BB9"/>
    <w:rsid w:val="001F5B44"/>
    <w:rsid w:val="00204B09"/>
    <w:rsid w:val="00207A53"/>
    <w:rsid w:val="00217252"/>
    <w:rsid w:val="00220E13"/>
    <w:rsid w:val="00236A4D"/>
    <w:rsid w:val="00237EE4"/>
    <w:rsid w:val="00253A8E"/>
    <w:rsid w:val="00260DD7"/>
    <w:rsid w:val="002618EC"/>
    <w:rsid w:val="00264FF9"/>
    <w:rsid w:val="00266F1A"/>
    <w:rsid w:val="0028158A"/>
    <w:rsid w:val="00281D9B"/>
    <w:rsid w:val="00282692"/>
    <w:rsid w:val="002A0886"/>
    <w:rsid w:val="002B37EE"/>
    <w:rsid w:val="002B4F93"/>
    <w:rsid w:val="002C472C"/>
    <w:rsid w:val="002D0345"/>
    <w:rsid w:val="002D1C7C"/>
    <w:rsid w:val="002D327D"/>
    <w:rsid w:val="002D5B78"/>
    <w:rsid w:val="002D5E6D"/>
    <w:rsid w:val="002E0209"/>
    <w:rsid w:val="002E5A6F"/>
    <w:rsid w:val="002F4649"/>
    <w:rsid w:val="002F6B0B"/>
    <w:rsid w:val="002F6F86"/>
    <w:rsid w:val="00321326"/>
    <w:rsid w:val="00322B72"/>
    <w:rsid w:val="00334B8D"/>
    <w:rsid w:val="00350740"/>
    <w:rsid w:val="00350D27"/>
    <w:rsid w:val="003579BF"/>
    <w:rsid w:val="00360040"/>
    <w:rsid w:val="003611E4"/>
    <w:rsid w:val="00367EBB"/>
    <w:rsid w:val="00384815"/>
    <w:rsid w:val="003859AC"/>
    <w:rsid w:val="003868DE"/>
    <w:rsid w:val="00397002"/>
    <w:rsid w:val="003A24B5"/>
    <w:rsid w:val="003B083D"/>
    <w:rsid w:val="003B167B"/>
    <w:rsid w:val="003C1273"/>
    <w:rsid w:val="003D6D9C"/>
    <w:rsid w:val="003E3402"/>
    <w:rsid w:val="003E3D41"/>
    <w:rsid w:val="003F338D"/>
    <w:rsid w:val="003F6E2E"/>
    <w:rsid w:val="00405F16"/>
    <w:rsid w:val="00412949"/>
    <w:rsid w:val="0042087D"/>
    <w:rsid w:val="00420F76"/>
    <w:rsid w:val="0042168E"/>
    <w:rsid w:val="00426501"/>
    <w:rsid w:val="0043151C"/>
    <w:rsid w:val="00433A39"/>
    <w:rsid w:val="00436C3A"/>
    <w:rsid w:val="00443A0D"/>
    <w:rsid w:val="00444FA3"/>
    <w:rsid w:val="004607E9"/>
    <w:rsid w:val="004614EF"/>
    <w:rsid w:val="00462D28"/>
    <w:rsid w:val="0047007F"/>
    <w:rsid w:val="004719A7"/>
    <w:rsid w:val="00472393"/>
    <w:rsid w:val="0047509D"/>
    <w:rsid w:val="004775D1"/>
    <w:rsid w:val="00480620"/>
    <w:rsid w:val="004806AF"/>
    <w:rsid w:val="004812B8"/>
    <w:rsid w:val="00495C89"/>
    <w:rsid w:val="004B7BD5"/>
    <w:rsid w:val="004D094C"/>
    <w:rsid w:val="004E27BA"/>
    <w:rsid w:val="004E2803"/>
    <w:rsid w:val="004E4382"/>
    <w:rsid w:val="004F0800"/>
    <w:rsid w:val="004F4E0F"/>
    <w:rsid w:val="004F5F0E"/>
    <w:rsid w:val="004F65A8"/>
    <w:rsid w:val="004F66C0"/>
    <w:rsid w:val="00506488"/>
    <w:rsid w:val="00511038"/>
    <w:rsid w:val="00522707"/>
    <w:rsid w:val="00531203"/>
    <w:rsid w:val="00531C09"/>
    <w:rsid w:val="005336CB"/>
    <w:rsid w:val="00544E55"/>
    <w:rsid w:val="00553931"/>
    <w:rsid w:val="00556CD6"/>
    <w:rsid w:val="005576FD"/>
    <w:rsid w:val="00557713"/>
    <w:rsid w:val="00561300"/>
    <w:rsid w:val="005620B9"/>
    <w:rsid w:val="00565EDC"/>
    <w:rsid w:val="00566F38"/>
    <w:rsid w:val="00572165"/>
    <w:rsid w:val="00574F1C"/>
    <w:rsid w:val="005800FF"/>
    <w:rsid w:val="00581A7E"/>
    <w:rsid w:val="00586264"/>
    <w:rsid w:val="005B18CF"/>
    <w:rsid w:val="005B5BCA"/>
    <w:rsid w:val="005C6507"/>
    <w:rsid w:val="005C7D89"/>
    <w:rsid w:val="005F111D"/>
    <w:rsid w:val="005F27D3"/>
    <w:rsid w:val="005F6BD4"/>
    <w:rsid w:val="00607036"/>
    <w:rsid w:val="006101AC"/>
    <w:rsid w:val="00631643"/>
    <w:rsid w:val="006350DE"/>
    <w:rsid w:val="00636483"/>
    <w:rsid w:val="00645276"/>
    <w:rsid w:val="00652865"/>
    <w:rsid w:val="00661F2D"/>
    <w:rsid w:val="00696253"/>
    <w:rsid w:val="006A33BC"/>
    <w:rsid w:val="006A6CEF"/>
    <w:rsid w:val="006B2887"/>
    <w:rsid w:val="006B2A91"/>
    <w:rsid w:val="006D3463"/>
    <w:rsid w:val="006D39CA"/>
    <w:rsid w:val="006D52CF"/>
    <w:rsid w:val="006E3DE2"/>
    <w:rsid w:val="006F28B9"/>
    <w:rsid w:val="006F4FC4"/>
    <w:rsid w:val="006F6BE8"/>
    <w:rsid w:val="00705018"/>
    <w:rsid w:val="007050D9"/>
    <w:rsid w:val="007114C7"/>
    <w:rsid w:val="00711F61"/>
    <w:rsid w:val="007174FB"/>
    <w:rsid w:val="00720B0A"/>
    <w:rsid w:val="00722DE9"/>
    <w:rsid w:val="007301D8"/>
    <w:rsid w:val="0073030E"/>
    <w:rsid w:val="007359B4"/>
    <w:rsid w:val="00754DE1"/>
    <w:rsid w:val="007566BB"/>
    <w:rsid w:val="00766429"/>
    <w:rsid w:val="007665BE"/>
    <w:rsid w:val="00766E37"/>
    <w:rsid w:val="007737DF"/>
    <w:rsid w:val="00790CDB"/>
    <w:rsid w:val="00795BE3"/>
    <w:rsid w:val="00796740"/>
    <w:rsid w:val="007C57CF"/>
    <w:rsid w:val="007D1564"/>
    <w:rsid w:val="007D22BA"/>
    <w:rsid w:val="007E32D6"/>
    <w:rsid w:val="007E472A"/>
    <w:rsid w:val="007E4997"/>
    <w:rsid w:val="00802279"/>
    <w:rsid w:val="00807FE6"/>
    <w:rsid w:val="00824BE3"/>
    <w:rsid w:val="00833443"/>
    <w:rsid w:val="008368A7"/>
    <w:rsid w:val="00837201"/>
    <w:rsid w:val="00843A37"/>
    <w:rsid w:val="00844F99"/>
    <w:rsid w:val="008568F4"/>
    <w:rsid w:val="00860026"/>
    <w:rsid w:val="00862594"/>
    <w:rsid w:val="0086285A"/>
    <w:rsid w:val="00866FCC"/>
    <w:rsid w:val="00882F52"/>
    <w:rsid w:val="008862EA"/>
    <w:rsid w:val="00886B65"/>
    <w:rsid w:val="00892B20"/>
    <w:rsid w:val="00893DBF"/>
    <w:rsid w:val="008959A1"/>
    <w:rsid w:val="008975D6"/>
    <w:rsid w:val="00897E62"/>
    <w:rsid w:val="008B198B"/>
    <w:rsid w:val="008B32FD"/>
    <w:rsid w:val="008C3FE7"/>
    <w:rsid w:val="008D2BAC"/>
    <w:rsid w:val="008E354A"/>
    <w:rsid w:val="00903B55"/>
    <w:rsid w:val="00910967"/>
    <w:rsid w:val="00924A59"/>
    <w:rsid w:val="00925F1D"/>
    <w:rsid w:val="00941C87"/>
    <w:rsid w:val="009442B1"/>
    <w:rsid w:val="00945F80"/>
    <w:rsid w:val="00957CA7"/>
    <w:rsid w:val="0097693F"/>
    <w:rsid w:val="0098079A"/>
    <w:rsid w:val="00981DF2"/>
    <w:rsid w:val="0098257C"/>
    <w:rsid w:val="00985472"/>
    <w:rsid w:val="00986F16"/>
    <w:rsid w:val="0099324B"/>
    <w:rsid w:val="0099710B"/>
    <w:rsid w:val="009A30D5"/>
    <w:rsid w:val="009B2F1D"/>
    <w:rsid w:val="009B4547"/>
    <w:rsid w:val="009B4754"/>
    <w:rsid w:val="009B7286"/>
    <w:rsid w:val="009E4C13"/>
    <w:rsid w:val="009F03D1"/>
    <w:rsid w:val="009F09EA"/>
    <w:rsid w:val="009F6D49"/>
    <w:rsid w:val="00A01E8E"/>
    <w:rsid w:val="00A10D67"/>
    <w:rsid w:val="00A17C54"/>
    <w:rsid w:val="00A240C7"/>
    <w:rsid w:val="00A25E09"/>
    <w:rsid w:val="00A27970"/>
    <w:rsid w:val="00A33D3D"/>
    <w:rsid w:val="00A41EAB"/>
    <w:rsid w:val="00A4269A"/>
    <w:rsid w:val="00A430CA"/>
    <w:rsid w:val="00A44F74"/>
    <w:rsid w:val="00A56423"/>
    <w:rsid w:val="00A569B3"/>
    <w:rsid w:val="00A57513"/>
    <w:rsid w:val="00A739D4"/>
    <w:rsid w:val="00A73A05"/>
    <w:rsid w:val="00A76E4B"/>
    <w:rsid w:val="00A77C80"/>
    <w:rsid w:val="00A805C9"/>
    <w:rsid w:val="00A810B7"/>
    <w:rsid w:val="00A863BA"/>
    <w:rsid w:val="00AA3DF0"/>
    <w:rsid w:val="00AB28EE"/>
    <w:rsid w:val="00AC12BE"/>
    <w:rsid w:val="00AC5860"/>
    <w:rsid w:val="00AC6ABC"/>
    <w:rsid w:val="00AD19AE"/>
    <w:rsid w:val="00AD27ED"/>
    <w:rsid w:val="00AE49D7"/>
    <w:rsid w:val="00AE4CA9"/>
    <w:rsid w:val="00AF0E0B"/>
    <w:rsid w:val="00AF39BE"/>
    <w:rsid w:val="00AF5E34"/>
    <w:rsid w:val="00B006F1"/>
    <w:rsid w:val="00B039FE"/>
    <w:rsid w:val="00B042B3"/>
    <w:rsid w:val="00B05BE4"/>
    <w:rsid w:val="00B05EBD"/>
    <w:rsid w:val="00B13301"/>
    <w:rsid w:val="00B4175B"/>
    <w:rsid w:val="00B45BEF"/>
    <w:rsid w:val="00B50B9F"/>
    <w:rsid w:val="00B50E9D"/>
    <w:rsid w:val="00B54FF0"/>
    <w:rsid w:val="00B55792"/>
    <w:rsid w:val="00B56146"/>
    <w:rsid w:val="00B66278"/>
    <w:rsid w:val="00B74DD8"/>
    <w:rsid w:val="00B77071"/>
    <w:rsid w:val="00BA2F2B"/>
    <w:rsid w:val="00BA6A45"/>
    <w:rsid w:val="00BB4C30"/>
    <w:rsid w:val="00BB6608"/>
    <w:rsid w:val="00BB7CF7"/>
    <w:rsid w:val="00BC4104"/>
    <w:rsid w:val="00BC7FD7"/>
    <w:rsid w:val="00BD0A6F"/>
    <w:rsid w:val="00BD261D"/>
    <w:rsid w:val="00BD406F"/>
    <w:rsid w:val="00BD7E06"/>
    <w:rsid w:val="00BE35CD"/>
    <w:rsid w:val="00BF78AD"/>
    <w:rsid w:val="00C03E49"/>
    <w:rsid w:val="00C05E00"/>
    <w:rsid w:val="00C065DB"/>
    <w:rsid w:val="00C10719"/>
    <w:rsid w:val="00C11164"/>
    <w:rsid w:val="00C11ED7"/>
    <w:rsid w:val="00C162B9"/>
    <w:rsid w:val="00C17D9A"/>
    <w:rsid w:val="00C205FD"/>
    <w:rsid w:val="00C23A1C"/>
    <w:rsid w:val="00C26B47"/>
    <w:rsid w:val="00C37251"/>
    <w:rsid w:val="00C47FFB"/>
    <w:rsid w:val="00C51BE2"/>
    <w:rsid w:val="00C5454E"/>
    <w:rsid w:val="00C642DE"/>
    <w:rsid w:val="00C67189"/>
    <w:rsid w:val="00C82EFE"/>
    <w:rsid w:val="00C84480"/>
    <w:rsid w:val="00CC49D6"/>
    <w:rsid w:val="00CC5115"/>
    <w:rsid w:val="00CC6AF0"/>
    <w:rsid w:val="00CC7C72"/>
    <w:rsid w:val="00CD0A19"/>
    <w:rsid w:val="00CD5B96"/>
    <w:rsid w:val="00CD7C8F"/>
    <w:rsid w:val="00CE2C9F"/>
    <w:rsid w:val="00CE3F94"/>
    <w:rsid w:val="00CF0EFB"/>
    <w:rsid w:val="00CF58FE"/>
    <w:rsid w:val="00CF697E"/>
    <w:rsid w:val="00D02739"/>
    <w:rsid w:val="00D1669E"/>
    <w:rsid w:val="00D20E5F"/>
    <w:rsid w:val="00D23768"/>
    <w:rsid w:val="00D26C2F"/>
    <w:rsid w:val="00D31CAD"/>
    <w:rsid w:val="00D348BF"/>
    <w:rsid w:val="00D35D8F"/>
    <w:rsid w:val="00D43B7C"/>
    <w:rsid w:val="00D45BA6"/>
    <w:rsid w:val="00D52C9A"/>
    <w:rsid w:val="00D55C83"/>
    <w:rsid w:val="00D73B0E"/>
    <w:rsid w:val="00D75025"/>
    <w:rsid w:val="00D76AC4"/>
    <w:rsid w:val="00D82AC3"/>
    <w:rsid w:val="00D83725"/>
    <w:rsid w:val="00D84558"/>
    <w:rsid w:val="00D87F1C"/>
    <w:rsid w:val="00D9305F"/>
    <w:rsid w:val="00D938E7"/>
    <w:rsid w:val="00DB5E90"/>
    <w:rsid w:val="00DC17B0"/>
    <w:rsid w:val="00DC2DE5"/>
    <w:rsid w:val="00DC53FD"/>
    <w:rsid w:val="00DD2142"/>
    <w:rsid w:val="00DD572A"/>
    <w:rsid w:val="00DE33FE"/>
    <w:rsid w:val="00DF3089"/>
    <w:rsid w:val="00E153A9"/>
    <w:rsid w:val="00E24B32"/>
    <w:rsid w:val="00E26BB4"/>
    <w:rsid w:val="00E270DB"/>
    <w:rsid w:val="00E31F4D"/>
    <w:rsid w:val="00E32D23"/>
    <w:rsid w:val="00E33A72"/>
    <w:rsid w:val="00E34CC8"/>
    <w:rsid w:val="00E469E6"/>
    <w:rsid w:val="00E556EB"/>
    <w:rsid w:val="00E6339C"/>
    <w:rsid w:val="00E63564"/>
    <w:rsid w:val="00E65B38"/>
    <w:rsid w:val="00E666D2"/>
    <w:rsid w:val="00E71539"/>
    <w:rsid w:val="00E73B3F"/>
    <w:rsid w:val="00E753AF"/>
    <w:rsid w:val="00E77349"/>
    <w:rsid w:val="00E86759"/>
    <w:rsid w:val="00E90062"/>
    <w:rsid w:val="00E90E66"/>
    <w:rsid w:val="00E9304F"/>
    <w:rsid w:val="00EA2C58"/>
    <w:rsid w:val="00EB0559"/>
    <w:rsid w:val="00EB4581"/>
    <w:rsid w:val="00ED0AF8"/>
    <w:rsid w:val="00ED3A8D"/>
    <w:rsid w:val="00EE04AC"/>
    <w:rsid w:val="00EE6609"/>
    <w:rsid w:val="00EE6B6E"/>
    <w:rsid w:val="00EF3C8B"/>
    <w:rsid w:val="00F01ACC"/>
    <w:rsid w:val="00F115CB"/>
    <w:rsid w:val="00F130FF"/>
    <w:rsid w:val="00F17DBF"/>
    <w:rsid w:val="00F264B6"/>
    <w:rsid w:val="00F3136E"/>
    <w:rsid w:val="00F31B61"/>
    <w:rsid w:val="00F34F9D"/>
    <w:rsid w:val="00F42508"/>
    <w:rsid w:val="00F44A91"/>
    <w:rsid w:val="00F4591A"/>
    <w:rsid w:val="00F52700"/>
    <w:rsid w:val="00F55637"/>
    <w:rsid w:val="00F636EB"/>
    <w:rsid w:val="00F71BC2"/>
    <w:rsid w:val="00F7222D"/>
    <w:rsid w:val="00F81765"/>
    <w:rsid w:val="00F81DAA"/>
    <w:rsid w:val="00F851DB"/>
    <w:rsid w:val="00FB12ED"/>
    <w:rsid w:val="00FB5931"/>
    <w:rsid w:val="00FC22CC"/>
    <w:rsid w:val="00FC4CCC"/>
    <w:rsid w:val="00FE5E10"/>
    <w:rsid w:val="00FF0467"/>
    <w:rsid w:val="00FF1213"/>
    <w:rsid w:val="00FF3259"/>
    <w:rsid w:val="00FF5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1D"/>
    <w:pPr>
      <w:suppressAutoHyphens/>
    </w:pPr>
    <w:rPr>
      <w:sz w:val="24"/>
      <w:lang w:val="en-GB" w:eastAsia="fr-FR"/>
    </w:rPr>
  </w:style>
  <w:style w:type="paragraph" w:styleId="Heading1">
    <w:name w:val="heading 1"/>
    <w:basedOn w:val="Normal"/>
    <w:next w:val="Normal"/>
    <w:qFormat/>
    <w:rsid w:val="00BD261D"/>
    <w:pPr>
      <w:keepNext/>
      <w:spacing w:before="360" w:after="240"/>
      <w:jc w:val="center"/>
      <w:outlineLvl w:val="0"/>
    </w:pPr>
    <w:rPr>
      <w:b/>
      <w:sz w:val="28"/>
    </w:rPr>
  </w:style>
  <w:style w:type="paragraph" w:styleId="Heading2">
    <w:name w:val="heading 2"/>
    <w:basedOn w:val="Normal"/>
    <w:next w:val="Normal"/>
    <w:qFormat/>
    <w:rsid w:val="00BD261D"/>
    <w:pPr>
      <w:keepNext/>
      <w:spacing w:before="240" w:after="120"/>
      <w:ind w:left="284" w:hanging="284"/>
      <w:outlineLvl w:val="1"/>
    </w:pPr>
    <w:rPr>
      <w:b/>
    </w:rPr>
  </w:style>
  <w:style w:type="paragraph" w:styleId="Heading3">
    <w:name w:val="heading 3"/>
    <w:basedOn w:val="Normal"/>
    <w:next w:val="Normal"/>
    <w:qFormat/>
    <w:rsid w:val="00BD261D"/>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BD261D"/>
  </w:style>
  <w:style w:type="table" w:default="1" w:styleId="TableNormal">
    <w:name w:val="Normal Table"/>
    <w:semiHidden/>
    <w:rsid w:val="00BD261D"/>
    <w:tblPr>
      <w:tblInd w:w="0" w:type="dxa"/>
      <w:tblCellMar>
        <w:top w:w="0" w:type="dxa"/>
        <w:left w:w="108" w:type="dxa"/>
        <w:bottom w:w="0" w:type="dxa"/>
        <w:right w:w="108" w:type="dxa"/>
      </w:tblCellMar>
    </w:tblPr>
  </w:style>
  <w:style w:type="numbering" w:default="1" w:styleId="NoList">
    <w:name w:val="No List"/>
    <w:semiHidden/>
    <w:rsid w:val="00BD261D"/>
  </w:style>
  <w:style w:type="paragraph" w:customStyle="1" w:styleId="OpiHHead">
    <w:name w:val="Opi_H_Head"/>
    <w:basedOn w:val="JuHHead"/>
    <w:next w:val="OpiPara"/>
    <w:rsid w:val="00BD261D"/>
    <w:pPr>
      <w:spacing w:before="0"/>
      <w:jc w:val="center"/>
    </w:pPr>
  </w:style>
  <w:style w:type="paragraph" w:customStyle="1" w:styleId="JuHHead">
    <w:name w:val="Ju_H_Head"/>
    <w:basedOn w:val="Normal"/>
    <w:next w:val="JuPara"/>
    <w:rsid w:val="00BD261D"/>
    <w:pPr>
      <w:keepNext/>
      <w:keepLines/>
      <w:spacing w:before="720" w:after="240"/>
      <w:jc w:val="both"/>
    </w:pPr>
    <w:rPr>
      <w:sz w:val="28"/>
    </w:rPr>
  </w:style>
  <w:style w:type="paragraph" w:customStyle="1" w:styleId="JuPara">
    <w:name w:val="Ju_Para"/>
    <w:aliases w:val="Left,First line:  0 cm"/>
    <w:basedOn w:val="Normal"/>
    <w:link w:val="JuParaCar"/>
    <w:rsid w:val="00BD261D"/>
    <w:pPr>
      <w:ind w:firstLine="284"/>
      <w:jc w:val="both"/>
    </w:pPr>
  </w:style>
  <w:style w:type="paragraph" w:customStyle="1" w:styleId="OpiPara">
    <w:name w:val="Opi_Para"/>
    <w:basedOn w:val="JuPara"/>
    <w:rsid w:val="00BD261D"/>
  </w:style>
  <w:style w:type="paragraph" w:customStyle="1" w:styleId="JuHIRoman">
    <w:name w:val="Ju_H_I_Roman"/>
    <w:basedOn w:val="JuHHead"/>
    <w:next w:val="JuPara"/>
    <w:rsid w:val="00BD261D"/>
    <w:pPr>
      <w:tabs>
        <w:tab w:val="left" w:pos="357"/>
      </w:tabs>
      <w:spacing w:before="360"/>
      <w:ind w:left="357" w:hanging="357"/>
    </w:pPr>
    <w:rPr>
      <w:sz w:val="24"/>
    </w:rPr>
  </w:style>
  <w:style w:type="paragraph" w:customStyle="1" w:styleId="OpiTranslation">
    <w:name w:val="Opi_Translation"/>
    <w:basedOn w:val="OpiHHead"/>
    <w:next w:val="OpiPara"/>
    <w:rsid w:val="00BD261D"/>
    <w:rPr>
      <w:sz w:val="24"/>
    </w:rPr>
  </w:style>
  <w:style w:type="paragraph" w:styleId="Footer">
    <w:name w:val="footer"/>
    <w:basedOn w:val="Normal"/>
    <w:rsid w:val="00BD261D"/>
    <w:pPr>
      <w:tabs>
        <w:tab w:val="center" w:pos="3686"/>
        <w:tab w:val="right" w:pos="7371"/>
      </w:tabs>
    </w:pPr>
    <w:rPr>
      <w:sz w:val="18"/>
    </w:rPr>
  </w:style>
  <w:style w:type="paragraph" w:customStyle="1" w:styleId="JuJudges">
    <w:name w:val="Ju_Judges"/>
    <w:basedOn w:val="Normal"/>
    <w:rsid w:val="00BD261D"/>
    <w:pPr>
      <w:tabs>
        <w:tab w:val="left" w:pos="567"/>
        <w:tab w:val="left" w:pos="1134"/>
      </w:tabs>
    </w:pPr>
  </w:style>
  <w:style w:type="character" w:customStyle="1" w:styleId="JuNames">
    <w:name w:val="Ju_Names"/>
    <w:basedOn w:val="DefaultParagraphFont"/>
    <w:rsid w:val="00BD261D"/>
    <w:rPr>
      <w:smallCaps/>
    </w:rPr>
  </w:style>
  <w:style w:type="paragraph" w:customStyle="1" w:styleId="JuHA">
    <w:name w:val="Ju_H_A"/>
    <w:basedOn w:val="JuHIRoman"/>
    <w:next w:val="JuPara"/>
    <w:rsid w:val="00BD261D"/>
    <w:pPr>
      <w:tabs>
        <w:tab w:val="clear" w:pos="357"/>
        <w:tab w:val="left" w:pos="584"/>
      </w:tabs>
      <w:ind w:left="584" w:hanging="352"/>
    </w:pPr>
    <w:rPr>
      <w:b/>
    </w:rPr>
  </w:style>
  <w:style w:type="paragraph" w:customStyle="1" w:styleId="JuQuot">
    <w:name w:val="Ju_Quot"/>
    <w:basedOn w:val="JuPara"/>
    <w:rsid w:val="00BD261D"/>
    <w:pPr>
      <w:spacing w:before="120" w:after="120"/>
      <w:ind w:left="425" w:firstLine="142"/>
    </w:pPr>
    <w:rPr>
      <w:sz w:val="20"/>
    </w:rPr>
  </w:style>
  <w:style w:type="paragraph" w:customStyle="1" w:styleId="JuSigned">
    <w:name w:val="Ju_Signed"/>
    <w:basedOn w:val="Normal"/>
    <w:next w:val="JuParaLast"/>
    <w:rsid w:val="00100A31"/>
    <w:pPr>
      <w:tabs>
        <w:tab w:val="center" w:pos="1219"/>
        <w:tab w:val="center" w:pos="6379"/>
      </w:tabs>
      <w:spacing w:before="720"/>
    </w:pPr>
  </w:style>
  <w:style w:type="paragraph" w:customStyle="1" w:styleId="JuParaLast">
    <w:name w:val="Ju_Para_Last"/>
    <w:basedOn w:val="JuPara"/>
    <w:next w:val="JuPara"/>
    <w:rsid w:val="00BD261D"/>
    <w:pPr>
      <w:spacing w:before="240"/>
    </w:pPr>
  </w:style>
  <w:style w:type="paragraph" w:customStyle="1" w:styleId="JuCase">
    <w:name w:val="Ju_Case"/>
    <w:basedOn w:val="JuPara"/>
    <w:next w:val="JuPara"/>
    <w:rsid w:val="00BD261D"/>
    <w:rPr>
      <w:b/>
    </w:rPr>
  </w:style>
  <w:style w:type="paragraph" w:customStyle="1" w:styleId="JuList">
    <w:name w:val="Ju_List"/>
    <w:basedOn w:val="JuPara"/>
    <w:rsid w:val="00BD261D"/>
    <w:pPr>
      <w:ind w:left="340" w:hanging="340"/>
    </w:pPr>
  </w:style>
  <w:style w:type="paragraph" w:customStyle="1" w:styleId="JuHArticle">
    <w:name w:val="Ju_H_Article"/>
    <w:basedOn w:val="JuHa0"/>
    <w:next w:val="JuQuot"/>
    <w:rsid w:val="00BD261D"/>
    <w:pPr>
      <w:ind w:left="0" w:firstLine="0"/>
      <w:jc w:val="center"/>
    </w:pPr>
  </w:style>
  <w:style w:type="paragraph" w:customStyle="1" w:styleId="JuHa0">
    <w:name w:val="Ju_H_a"/>
    <w:basedOn w:val="JuH1"/>
    <w:next w:val="JuPara"/>
    <w:rsid w:val="00BD261D"/>
    <w:pPr>
      <w:tabs>
        <w:tab w:val="clear" w:pos="731"/>
        <w:tab w:val="left" w:pos="975"/>
      </w:tabs>
      <w:ind w:left="975" w:hanging="340"/>
    </w:pPr>
    <w:rPr>
      <w:b/>
      <w:i w:val="0"/>
      <w:sz w:val="20"/>
    </w:rPr>
  </w:style>
  <w:style w:type="paragraph" w:customStyle="1" w:styleId="JuH1">
    <w:name w:val="Ju_H_1."/>
    <w:basedOn w:val="JuHA"/>
    <w:next w:val="JuPara"/>
    <w:rsid w:val="00BD261D"/>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E469E6"/>
    <w:rPr>
      <w:b/>
      <w:bCs/>
    </w:rPr>
  </w:style>
  <w:style w:type="paragraph" w:styleId="CommentText">
    <w:name w:val="annotation text"/>
    <w:basedOn w:val="Normal"/>
    <w:semiHidden/>
    <w:rPr>
      <w:sz w:val="20"/>
    </w:rPr>
  </w:style>
  <w:style w:type="paragraph" w:customStyle="1" w:styleId="JuCourt">
    <w:name w:val="Ju_Court"/>
    <w:basedOn w:val="JuJudges"/>
    <w:rsid w:val="00BD261D"/>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BD261D"/>
    <w:pPr>
      <w:jc w:val="both"/>
    </w:pPr>
    <w:rPr>
      <w:sz w:val="20"/>
    </w:rPr>
  </w:style>
  <w:style w:type="character" w:styleId="FootnoteReference">
    <w:name w:val="footnote reference"/>
    <w:basedOn w:val="DefaultParagraphFont"/>
    <w:semiHidden/>
    <w:rsid w:val="00BD261D"/>
    <w:rPr>
      <w:vertAlign w:val="superscript"/>
    </w:rPr>
  </w:style>
  <w:style w:type="paragraph" w:customStyle="1" w:styleId="JuHi">
    <w:name w:val="Ju_H_i"/>
    <w:basedOn w:val="JuHa0"/>
    <w:next w:val="JuPara"/>
    <w:rsid w:val="00BD261D"/>
    <w:pPr>
      <w:tabs>
        <w:tab w:val="clear" w:pos="975"/>
        <w:tab w:val="left" w:pos="1191"/>
      </w:tabs>
      <w:ind w:left="1190" w:hanging="357"/>
    </w:pPr>
    <w:rPr>
      <w:b w:val="0"/>
      <w:i/>
    </w:rPr>
  </w:style>
  <w:style w:type="paragraph" w:styleId="Header">
    <w:name w:val="header"/>
    <w:basedOn w:val="Normal"/>
    <w:rsid w:val="00BD261D"/>
    <w:pPr>
      <w:tabs>
        <w:tab w:val="center" w:pos="3686"/>
        <w:tab w:val="right" w:pos="7371"/>
      </w:tabs>
    </w:pPr>
    <w:rPr>
      <w:sz w:val="18"/>
    </w:rPr>
  </w:style>
  <w:style w:type="character" w:styleId="PageNumber">
    <w:name w:val="page number"/>
    <w:basedOn w:val="DefaultParagraphFont"/>
    <w:rsid w:val="00BD261D"/>
    <w:rPr>
      <w:sz w:val="18"/>
    </w:rPr>
  </w:style>
  <w:style w:type="paragraph" w:customStyle="1" w:styleId="JuH">
    <w:name w:val="Ju_H_–"/>
    <w:basedOn w:val="JuHalpha"/>
    <w:next w:val="JuPara"/>
    <w:rsid w:val="00BD261D"/>
    <w:pPr>
      <w:tabs>
        <w:tab w:val="clear" w:pos="1372"/>
      </w:tabs>
      <w:ind w:left="1236" w:firstLine="0"/>
    </w:pPr>
    <w:rPr>
      <w:i/>
    </w:rPr>
  </w:style>
  <w:style w:type="paragraph" w:customStyle="1" w:styleId="JuHalpha">
    <w:name w:val="Ju_H_alpha"/>
    <w:basedOn w:val="JuHi"/>
    <w:next w:val="JuPara"/>
    <w:rsid w:val="00BD261D"/>
    <w:pPr>
      <w:tabs>
        <w:tab w:val="clear" w:pos="1191"/>
        <w:tab w:val="left" w:pos="1372"/>
      </w:tabs>
      <w:ind w:left="1373" w:hanging="335"/>
    </w:pPr>
    <w:rPr>
      <w:i w:val="0"/>
    </w:rPr>
  </w:style>
  <w:style w:type="paragraph" w:customStyle="1" w:styleId="JuLista">
    <w:name w:val="Ju_List_a"/>
    <w:basedOn w:val="JuList"/>
    <w:rsid w:val="00BD261D"/>
    <w:pPr>
      <w:ind w:left="346" w:firstLine="0"/>
    </w:pPr>
  </w:style>
  <w:style w:type="paragraph" w:customStyle="1" w:styleId="JuListi">
    <w:name w:val="Ju_List_i"/>
    <w:basedOn w:val="JuLista"/>
    <w:rsid w:val="00BD261D"/>
    <w:pPr>
      <w:ind w:left="794"/>
    </w:pPr>
  </w:style>
  <w:style w:type="character" w:styleId="CommentReference">
    <w:name w:val="annotation reference"/>
    <w:basedOn w:val="DefaultParagraphFont"/>
    <w:semiHidden/>
    <w:rPr>
      <w:sz w:val="16"/>
    </w:rPr>
  </w:style>
  <w:style w:type="paragraph" w:customStyle="1" w:styleId="JuInitialled">
    <w:name w:val="Ju_Initialled"/>
    <w:basedOn w:val="JuSigned"/>
    <w:rsid w:val="00BD261D"/>
    <w:pPr>
      <w:jc w:val="right"/>
    </w:pPr>
  </w:style>
  <w:style w:type="paragraph" w:customStyle="1" w:styleId="JuHeader">
    <w:name w:val="Ju_Header"/>
    <w:basedOn w:val="Header"/>
    <w:rsid w:val="00BD261D"/>
  </w:style>
  <w:style w:type="paragraph" w:customStyle="1" w:styleId="DecHTitle">
    <w:name w:val="Dec_H_Title"/>
    <w:basedOn w:val="Normal"/>
    <w:rsid w:val="00BD261D"/>
    <w:pPr>
      <w:spacing w:after="240"/>
      <w:jc w:val="center"/>
    </w:pPr>
    <w:rPr>
      <w:sz w:val="28"/>
    </w:rPr>
  </w:style>
  <w:style w:type="paragraph" w:customStyle="1" w:styleId="DecHCase">
    <w:name w:val="Dec_H_Case"/>
    <w:basedOn w:val="DecHTitle"/>
    <w:next w:val="JuPara"/>
    <w:rsid w:val="00BD261D"/>
    <w:rPr>
      <w:sz w:val="24"/>
    </w:rPr>
  </w:style>
  <w:style w:type="paragraph" w:customStyle="1" w:styleId="DecList">
    <w:name w:val="Dec_List"/>
    <w:basedOn w:val="Normal"/>
    <w:rsid w:val="00BD261D"/>
    <w:pPr>
      <w:spacing w:before="240"/>
      <w:ind w:left="284"/>
      <w:jc w:val="both"/>
    </w:pPr>
  </w:style>
  <w:style w:type="paragraph" w:customStyle="1" w:styleId="JuParaSub">
    <w:name w:val="Ju_Para_Sub"/>
    <w:basedOn w:val="JuPara"/>
    <w:rsid w:val="00BD261D"/>
    <w:pPr>
      <w:ind w:left="284"/>
    </w:pPr>
    <w:rPr>
      <w:szCs w:val="24"/>
    </w:rPr>
  </w:style>
  <w:style w:type="paragraph" w:customStyle="1" w:styleId="JuQuotSub">
    <w:name w:val="Ju_Quot_Sub"/>
    <w:basedOn w:val="JuQuot"/>
    <w:rsid w:val="00BD261D"/>
    <w:pPr>
      <w:ind w:left="567"/>
    </w:pPr>
  </w:style>
  <w:style w:type="paragraph" w:styleId="BalloonText">
    <w:name w:val="Balloon Text"/>
    <w:basedOn w:val="Normal"/>
    <w:semiHidden/>
    <w:rsid w:val="009B4547"/>
    <w:rPr>
      <w:rFonts w:ascii="Tahoma" w:hAnsi="Tahoma" w:cs="Tahoma"/>
      <w:sz w:val="16"/>
      <w:szCs w:val="16"/>
    </w:rPr>
  </w:style>
  <w:style w:type="paragraph" w:customStyle="1" w:styleId="PJuPara">
    <w:name w:val="P_Ju_Para"/>
    <w:basedOn w:val="Normal"/>
    <w:rsid w:val="00BD261D"/>
    <w:pPr>
      <w:ind w:firstLine="284"/>
      <w:jc w:val="both"/>
    </w:pPr>
  </w:style>
  <w:style w:type="paragraph" w:customStyle="1" w:styleId="PJuQuot">
    <w:name w:val="P_Ju_Quot"/>
    <w:basedOn w:val="Normal"/>
    <w:rsid w:val="00BD261D"/>
    <w:pPr>
      <w:spacing w:before="120" w:after="120"/>
      <w:ind w:left="403" w:firstLine="176"/>
      <w:jc w:val="both"/>
    </w:pPr>
    <w:rPr>
      <w:sz w:val="20"/>
    </w:rPr>
  </w:style>
  <w:style w:type="paragraph" w:customStyle="1" w:styleId="OpiHA">
    <w:name w:val="Opi_H_A"/>
    <w:basedOn w:val="JuHIRoman"/>
    <w:next w:val="OpiPara"/>
    <w:rsid w:val="00BD261D"/>
    <w:pPr>
      <w:tabs>
        <w:tab w:val="clear" w:pos="357"/>
      </w:tabs>
    </w:pPr>
    <w:rPr>
      <w:b/>
    </w:rPr>
  </w:style>
  <w:style w:type="paragraph" w:customStyle="1" w:styleId="OpiH1">
    <w:name w:val="Opi_H_1."/>
    <w:basedOn w:val="OpiHA"/>
    <w:next w:val="OpiPara"/>
    <w:rsid w:val="00BD261D"/>
    <w:pPr>
      <w:spacing w:before="240" w:after="120"/>
      <w:ind w:left="635"/>
    </w:pPr>
    <w:rPr>
      <w:b w:val="0"/>
      <w:i/>
    </w:rPr>
  </w:style>
  <w:style w:type="paragraph" w:customStyle="1" w:styleId="OpiHa0">
    <w:name w:val="Opi_H_a"/>
    <w:basedOn w:val="OpiH1"/>
    <w:next w:val="OpiPara"/>
    <w:rsid w:val="00BD261D"/>
    <w:pPr>
      <w:ind w:left="834"/>
    </w:pPr>
    <w:rPr>
      <w:b/>
      <w:i w:val="0"/>
      <w:sz w:val="20"/>
    </w:rPr>
  </w:style>
  <w:style w:type="paragraph" w:customStyle="1" w:styleId="OpiHi">
    <w:name w:val="Opi_H_i"/>
    <w:basedOn w:val="OpiHa0"/>
    <w:next w:val="OpiPara"/>
    <w:rsid w:val="00BD261D"/>
    <w:pPr>
      <w:ind w:left="1038"/>
    </w:pPr>
    <w:rPr>
      <w:b w:val="0"/>
      <w:i/>
    </w:rPr>
  </w:style>
  <w:style w:type="paragraph" w:customStyle="1" w:styleId="PListArticleSubject">
    <w:name w:val="P_List_ArticleSubject"/>
    <w:basedOn w:val="Normal"/>
    <w:rsid w:val="00BD261D"/>
    <w:pPr>
      <w:tabs>
        <w:tab w:val="left" w:pos="2977"/>
      </w:tabs>
      <w:ind w:left="2977" w:hanging="2977"/>
    </w:pPr>
  </w:style>
  <w:style w:type="paragraph" w:customStyle="1" w:styleId="OpiQuot">
    <w:name w:val="Opi_Quot"/>
    <w:basedOn w:val="JuQuot"/>
    <w:rsid w:val="00BD261D"/>
  </w:style>
  <w:style w:type="paragraph" w:customStyle="1" w:styleId="SuCoverTitle1">
    <w:name w:val="Su_Cover_Title1"/>
    <w:basedOn w:val="Normal"/>
    <w:next w:val="SuCoverTitle2"/>
    <w:rsid w:val="00BD261D"/>
    <w:pPr>
      <w:spacing w:before="2500"/>
      <w:jc w:val="center"/>
    </w:pPr>
    <w:rPr>
      <w:sz w:val="22"/>
    </w:rPr>
  </w:style>
  <w:style w:type="paragraph" w:customStyle="1" w:styleId="SuCoverTitle2">
    <w:name w:val="Su_Cover_Title2"/>
    <w:basedOn w:val="SuCoverTitle1"/>
    <w:next w:val="Normal"/>
    <w:rsid w:val="00BD261D"/>
    <w:pPr>
      <w:spacing w:before="240"/>
    </w:pPr>
    <w:rPr>
      <w:sz w:val="18"/>
    </w:rPr>
  </w:style>
  <w:style w:type="paragraph" w:customStyle="1" w:styleId="SuPara">
    <w:name w:val="Su_Para"/>
    <w:basedOn w:val="SuKeywords"/>
    <w:rsid w:val="00BD261D"/>
    <w:pPr>
      <w:spacing w:before="0" w:after="0"/>
    </w:pPr>
    <w:rPr>
      <w:i w:val="0"/>
    </w:rPr>
  </w:style>
  <w:style w:type="paragraph" w:customStyle="1" w:styleId="SuKeywords">
    <w:name w:val="Su_Keywords"/>
    <w:basedOn w:val="SuHHead"/>
    <w:rsid w:val="00BD261D"/>
    <w:pPr>
      <w:spacing w:before="120"/>
    </w:pPr>
    <w:rPr>
      <w:b w:val="0"/>
      <w:i/>
    </w:rPr>
  </w:style>
  <w:style w:type="paragraph" w:customStyle="1" w:styleId="SuHHead">
    <w:name w:val="Su_H_Head"/>
    <w:basedOn w:val="SuSubject"/>
    <w:rsid w:val="00BD261D"/>
    <w:pPr>
      <w:spacing w:after="120"/>
    </w:pPr>
  </w:style>
  <w:style w:type="paragraph" w:customStyle="1" w:styleId="SuSubject">
    <w:name w:val="Su_Subject"/>
    <w:basedOn w:val="SuSummary"/>
    <w:rsid w:val="00BD261D"/>
    <w:pPr>
      <w:spacing w:before="360"/>
      <w:jc w:val="both"/>
    </w:pPr>
    <w:rPr>
      <w:b/>
      <w:sz w:val="22"/>
    </w:rPr>
  </w:style>
  <w:style w:type="paragraph" w:customStyle="1" w:styleId="SuSummary">
    <w:name w:val="Su_Summary"/>
    <w:basedOn w:val="Normal"/>
    <w:next w:val="SuSubject"/>
    <w:rsid w:val="00BD261D"/>
    <w:pPr>
      <w:spacing w:after="240"/>
      <w:jc w:val="center"/>
    </w:pPr>
  </w:style>
  <w:style w:type="paragraph" w:customStyle="1" w:styleId="PListCaseNo">
    <w:name w:val="P_List_CaseNo"/>
    <w:basedOn w:val="Normal"/>
    <w:rsid w:val="00BD261D"/>
    <w:pPr>
      <w:tabs>
        <w:tab w:val="left" w:pos="1276"/>
      </w:tabs>
      <w:spacing w:line="288" w:lineRule="auto"/>
      <w:ind w:left="1276" w:hanging="1276"/>
    </w:pPr>
  </w:style>
  <w:style w:type="paragraph" w:customStyle="1" w:styleId="PListCases">
    <w:name w:val="P_List_Cases"/>
    <w:basedOn w:val="Normal"/>
    <w:rsid w:val="00BD261D"/>
    <w:pPr>
      <w:spacing w:line="288" w:lineRule="auto"/>
    </w:pPr>
  </w:style>
  <w:style w:type="paragraph" w:customStyle="1" w:styleId="PTextIntro">
    <w:name w:val="P_Text_Intro"/>
    <w:basedOn w:val="Normal"/>
    <w:rsid w:val="00BD261D"/>
    <w:pPr>
      <w:jc w:val="both"/>
    </w:pPr>
    <w:rPr>
      <w:i/>
      <w:sz w:val="20"/>
    </w:rPr>
  </w:style>
  <w:style w:type="paragraph" w:customStyle="1" w:styleId="PTitleCover">
    <w:name w:val="P_Title_Cover"/>
    <w:basedOn w:val="Normal"/>
    <w:rsid w:val="00BD261D"/>
    <w:pPr>
      <w:spacing w:before="2500"/>
      <w:jc w:val="center"/>
    </w:pPr>
    <w:rPr>
      <w:b/>
      <w:smallCaps/>
      <w:sz w:val="30"/>
    </w:rPr>
  </w:style>
  <w:style w:type="paragraph" w:customStyle="1" w:styleId="PTitle1Alpha">
    <w:name w:val="P_Title1_Alpha"/>
    <w:basedOn w:val="Normal"/>
    <w:next w:val="Normal"/>
    <w:rsid w:val="00BD261D"/>
    <w:pPr>
      <w:spacing w:after="120"/>
      <w:jc w:val="center"/>
    </w:pPr>
    <w:rPr>
      <w:b/>
      <w:smallCaps/>
      <w:sz w:val="30"/>
    </w:rPr>
  </w:style>
  <w:style w:type="paragraph" w:customStyle="1" w:styleId="PTitle1IndexArticle">
    <w:name w:val="P_Title1_IndexArticle"/>
    <w:basedOn w:val="Normal"/>
    <w:rsid w:val="00BD261D"/>
    <w:pPr>
      <w:spacing w:after="120"/>
      <w:jc w:val="center"/>
    </w:pPr>
    <w:rPr>
      <w:b/>
      <w:smallCaps/>
      <w:sz w:val="30"/>
    </w:rPr>
  </w:style>
  <w:style w:type="paragraph" w:customStyle="1" w:styleId="PTitle1IndexKey">
    <w:name w:val="P_Title1_IndexKey"/>
    <w:basedOn w:val="Normal"/>
    <w:rsid w:val="00BD261D"/>
    <w:pPr>
      <w:spacing w:after="600"/>
      <w:jc w:val="center"/>
    </w:pPr>
    <w:rPr>
      <w:b/>
      <w:smallCaps/>
      <w:sz w:val="30"/>
    </w:rPr>
  </w:style>
  <w:style w:type="paragraph" w:customStyle="1" w:styleId="PTitle1Num">
    <w:name w:val="P_Title1_Num"/>
    <w:basedOn w:val="Normal"/>
    <w:next w:val="PListCaseNo"/>
    <w:rsid w:val="00BD261D"/>
    <w:pPr>
      <w:spacing w:after="720"/>
      <w:jc w:val="center"/>
    </w:pPr>
    <w:rPr>
      <w:b/>
      <w:smallCaps/>
      <w:sz w:val="30"/>
    </w:rPr>
  </w:style>
  <w:style w:type="paragraph" w:customStyle="1" w:styleId="PTitle2Country">
    <w:name w:val="P_Title2_Country"/>
    <w:basedOn w:val="Normal"/>
    <w:next w:val="PListCases"/>
    <w:rsid w:val="00BD261D"/>
    <w:pPr>
      <w:keepNext/>
      <w:keepLines/>
      <w:spacing w:before="600" w:after="360"/>
    </w:pPr>
    <w:rPr>
      <w:b/>
    </w:rPr>
  </w:style>
  <w:style w:type="paragraph" w:customStyle="1" w:styleId="PTitle2Letters">
    <w:name w:val="P_Title2_Letters"/>
    <w:basedOn w:val="Normal"/>
    <w:next w:val="PListCases"/>
    <w:rsid w:val="00BD261D"/>
    <w:pPr>
      <w:keepNext/>
      <w:keepLines/>
      <w:spacing w:before="600" w:after="360"/>
    </w:pPr>
    <w:rPr>
      <w:b/>
      <w:sz w:val="28"/>
    </w:rPr>
  </w:style>
  <w:style w:type="paragraph" w:customStyle="1" w:styleId="PTitle2Part">
    <w:name w:val="P_Title2_Part"/>
    <w:basedOn w:val="Normal"/>
    <w:rsid w:val="00BD261D"/>
    <w:pPr>
      <w:keepNext/>
      <w:keepLines/>
      <w:spacing w:before="600" w:after="240"/>
      <w:jc w:val="center"/>
    </w:pPr>
    <w:rPr>
      <w:b/>
      <w:caps/>
    </w:rPr>
  </w:style>
  <w:style w:type="paragraph" w:customStyle="1" w:styleId="PTitle3Article">
    <w:name w:val="P_Title3_Article"/>
    <w:basedOn w:val="Normal"/>
    <w:rsid w:val="00BD261D"/>
    <w:pPr>
      <w:keepNext/>
      <w:keepLines/>
      <w:spacing w:before="360" w:after="120"/>
      <w:jc w:val="center"/>
    </w:pPr>
    <w:rPr>
      <w:b/>
      <w:smallCaps/>
      <w:sz w:val="22"/>
    </w:rPr>
  </w:style>
  <w:style w:type="paragraph" w:customStyle="1" w:styleId="PTitle4ArticleSub">
    <w:name w:val="P_Title4_Article_Sub"/>
    <w:basedOn w:val="PTitle3Article"/>
    <w:rsid w:val="00BD261D"/>
    <w:pPr>
      <w:spacing w:before="240"/>
    </w:pPr>
    <w:rPr>
      <w:smallCaps w:val="0"/>
      <w:sz w:val="20"/>
    </w:rPr>
  </w:style>
  <w:style w:type="paragraph" w:customStyle="1" w:styleId="PTitle5Subject">
    <w:name w:val="P_Title5_Subject"/>
    <w:basedOn w:val="Normal"/>
    <w:rsid w:val="00BD261D"/>
    <w:pPr>
      <w:keepNext/>
      <w:keepLines/>
      <w:spacing w:before="240" w:after="120"/>
      <w:jc w:val="both"/>
    </w:pPr>
    <w:rPr>
      <w:b/>
      <w:i/>
    </w:rPr>
  </w:style>
  <w:style w:type="paragraph" w:customStyle="1" w:styleId="PTitle6SubjectSub">
    <w:name w:val="P_Title6_Subject_Sub"/>
    <w:basedOn w:val="Normal"/>
    <w:rsid w:val="00BD261D"/>
    <w:pPr>
      <w:keepNext/>
      <w:keepLines/>
      <w:spacing w:before="240" w:after="120"/>
      <w:ind w:left="284"/>
      <w:jc w:val="both"/>
    </w:pPr>
    <w:rPr>
      <w:b/>
      <w:sz w:val="20"/>
    </w:rPr>
  </w:style>
  <w:style w:type="paragraph" w:customStyle="1" w:styleId="PTitle7CaseName">
    <w:name w:val="P_Title7_CaseName"/>
    <w:basedOn w:val="Normal"/>
    <w:rsid w:val="00BD261D"/>
    <w:pPr>
      <w:keepLines/>
      <w:spacing w:after="240"/>
      <w:jc w:val="right"/>
    </w:pPr>
    <w:rPr>
      <w:sz w:val="22"/>
    </w:rPr>
  </w:style>
  <w:style w:type="paragraph" w:customStyle="1" w:styleId="OpiParaSub">
    <w:name w:val="Opi_Para_Sub"/>
    <w:basedOn w:val="JuParaSub"/>
    <w:rsid w:val="00BD261D"/>
  </w:style>
  <w:style w:type="paragraph" w:customStyle="1" w:styleId="OpiQuotSub">
    <w:name w:val="Opi_Quot_Sub"/>
    <w:basedOn w:val="JuQuotSub"/>
    <w:rsid w:val="00BD261D"/>
  </w:style>
  <w:style w:type="character" w:styleId="Hyperlink">
    <w:name w:val="Hyperlink"/>
    <w:basedOn w:val="DefaultParagraphFont"/>
    <w:rsid w:val="000911D8"/>
    <w:rPr>
      <w:color w:val="0000FF"/>
      <w:u w:val="single"/>
    </w:rPr>
  </w:style>
  <w:style w:type="character" w:customStyle="1" w:styleId="JuParaCar">
    <w:name w:val="Ju_Para Car"/>
    <w:basedOn w:val="DefaultParagraphFont"/>
    <w:link w:val="JuPara"/>
    <w:rsid w:val="00E32D23"/>
    <w:rPr>
      <w:sz w:val="24"/>
      <w:lang w:val="en-GB" w:eastAsia="fr-FR" w:bidi="ar-SA"/>
    </w:rPr>
  </w:style>
  <w:style w:type="paragraph" w:styleId="DocumentMap">
    <w:name w:val="Document Map"/>
    <w:basedOn w:val="Normal"/>
    <w:semiHidden/>
    <w:rsid w:val="00924A59"/>
    <w:pPr>
      <w:shd w:val="clear" w:color="auto" w:fill="000080"/>
    </w:pPr>
    <w:rPr>
      <w:rFonts w:ascii="Tahoma" w:hAnsi="Tahoma" w:cs="Tahoma"/>
      <w:sz w:val="20"/>
    </w:rPr>
  </w:style>
  <w:style w:type="paragraph" w:styleId="ListParagraph">
    <w:name w:val="List Paragraph"/>
    <w:basedOn w:val="Normal"/>
    <w:qFormat/>
    <w:rsid w:val="00334B8D"/>
    <w:pPr>
      <w:suppressAutoHyphens w:val="0"/>
      <w:spacing w:after="200" w:line="276" w:lineRule="auto"/>
      <w:ind w:left="720"/>
      <w:contextualSpacing/>
    </w:pPr>
    <w:rPr>
      <w:rFonts w:ascii="Calibri" w:eastAsia="MS Mincho" w:hAnsi="Calibri"/>
      <w:sz w:val="22"/>
      <w:szCs w:val="22"/>
      <w:lang w:val="en-US" w:eastAsia="en-US"/>
    </w:rPr>
  </w:style>
  <w:style w:type="character" w:customStyle="1" w:styleId="JuParaChar">
    <w:name w:val="Ju_Para Char"/>
    <w:rsid w:val="00607036"/>
    <w:rPr>
      <w:rFonts w:ascii="Times New Roman" w:eastAsia="Times New Roman" w:hAnsi="Times New Roman" w:cs="Times New Roman"/>
      <w:sz w:val="24"/>
      <w:szCs w:val="20"/>
      <w:lang w:val="en-GB" w:eastAsia="fr-FR"/>
    </w:rPr>
  </w:style>
  <w:style w:type="paragraph" w:styleId="NormalWeb">
    <w:name w:val="Normal (Web)"/>
    <w:basedOn w:val="Normal"/>
    <w:unhideWhenUsed/>
    <w:rsid w:val="00607036"/>
    <w:pPr>
      <w:suppressAutoHyphens w:val="0"/>
      <w:spacing w:before="100" w:beforeAutospacing="1" w:after="100" w:afterAutospacing="1"/>
    </w:pPr>
    <w:rPr>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432168">
      <w:bodyDiv w:val="1"/>
      <w:marLeft w:val="0"/>
      <w:marRight w:val="0"/>
      <w:marTop w:val="0"/>
      <w:marBottom w:val="0"/>
      <w:divBdr>
        <w:top w:val="none" w:sz="0" w:space="0" w:color="auto"/>
        <w:left w:val="none" w:sz="0" w:space="0" w:color="auto"/>
        <w:bottom w:val="none" w:sz="0" w:space="0" w:color="auto"/>
        <w:right w:val="none" w:sz="0" w:space="0" w:color="auto"/>
      </w:divBdr>
      <w:divsChild>
        <w:div w:id="33241892">
          <w:marLeft w:val="0"/>
          <w:marRight w:val="0"/>
          <w:marTop w:val="0"/>
          <w:marBottom w:val="0"/>
          <w:divBdr>
            <w:top w:val="none" w:sz="0" w:space="0" w:color="auto"/>
            <w:left w:val="none" w:sz="0" w:space="0" w:color="auto"/>
            <w:bottom w:val="none" w:sz="0" w:space="0" w:color="auto"/>
            <w:right w:val="none" w:sz="0" w:space="0" w:color="auto"/>
          </w:divBdr>
        </w:div>
        <w:div w:id="150874868">
          <w:marLeft w:val="0"/>
          <w:marRight w:val="0"/>
          <w:marTop w:val="0"/>
          <w:marBottom w:val="0"/>
          <w:divBdr>
            <w:top w:val="none" w:sz="0" w:space="0" w:color="auto"/>
            <w:left w:val="none" w:sz="0" w:space="0" w:color="auto"/>
            <w:bottom w:val="none" w:sz="0" w:space="0" w:color="auto"/>
            <w:right w:val="none" w:sz="0" w:space="0" w:color="auto"/>
          </w:divBdr>
        </w:div>
        <w:div w:id="446197565">
          <w:marLeft w:val="0"/>
          <w:marRight w:val="0"/>
          <w:marTop w:val="0"/>
          <w:marBottom w:val="0"/>
          <w:divBdr>
            <w:top w:val="none" w:sz="0" w:space="0" w:color="auto"/>
            <w:left w:val="none" w:sz="0" w:space="0" w:color="auto"/>
            <w:bottom w:val="none" w:sz="0" w:space="0" w:color="auto"/>
            <w:right w:val="none" w:sz="0" w:space="0" w:color="auto"/>
          </w:divBdr>
        </w:div>
        <w:div w:id="808280347">
          <w:marLeft w:val="0"/>
          <w:marRight w:val="0"/>
          <w:marTop w:val="0"/>
          <w:marBottom w:val="0"/>
          <w:divBdr>
            <w:top w:val="none" w:sz="0" w:space="0" w:color="auto"/>
            <w:left w:val="none" w:sz="0" w:space="0" w:color="auto"/>
            <w:bottom w:val="none" w:sz="0" w:space="0" w:color="auto"/>
            <w:right w:val="none" w:sz="0" w:space="0" w:color="auto"/>
          </w:divBdr>
        </w:div>
        <w:div w:id="1100567340">
          <w:marLeft w:val="0"/>
          <w:marRight w:val="0"/>
          <w:marTop w:val="0"/>
          <w:marBottom w:val="0"/>
          <w:divBdr>
            <w:top w:val="none" w:sz="0" w:space="0" w:color="auto"/>
            <w:left w:val="none" w:sz="0" w:space="0" w:color="auto"/>
            <w:bottom w:val="none" w:sz="0" w:space="0" w:color="auto"/>
            <w:right w:val="none" w:sz="0" w:space="0" w:color="auto"/>
          </w:divBdr>
        </w:div>
        <w:div w:id="1434013692">
          <w:marLeft w:val="0"/>
          <w:marRight w:val="0"/>
          <w:marTop w:val="0"/>
          <w:marBottom w:val="0"/>
          <w:divBdr>
            <w:top w:val="none" w:sz="0" w:space="0" w:color="auto"/>
            <w:left w:val="none" w:sz="0" w:space="0" w:color="auto"/>
            <w:bottom w:val="none" w:sz="0" w:space="0" w:color="auto"/>
            <w:right w:val="none" w:sz="0" w:space="0" w:color="auto"/>
          </w:divBdr>
        </w:div>
        <w:div w:id="1545798504">
          <w:marLeft w:val="0"/>
          <w:marRight w:val="0"/>
          <w:marTop w:val="0"/>
          <w:marBottom w:val="0"/>
          <w:divBdr>
            <w:top w:val="none" w:sz="0" w:space="0" w:color="auto"/>
            <w:left w:val="none" w:sz="0" w:space="0" w:color="auto"/>
            <w:bottom w:val="none" w:sz="0" w:space="0" w:color="auto"/>
            <w:right w:val="none" w:sz="0" w:space="0" w:color="auto"/>
          </w:divBdr>
        </w:div>
        <w:div w:id="1795325793">
          <w:marLeft w:val="0"/>
          <w:marRight w:val="0"/>
          <w:marTop w:val="0"/>
          <w:marBottom w:val="0"/>
          <w:divBdr>
            <w:top w:val="none" w:sz="0" w:space="0" w:color="auto"/>
            <w:left w:val="none" w:sz="0" w:space="0" w:color="auto"/>
            <w:bottom w:val="none" w:sz="0" w:space="0" w:color="auto"/>
            <w:right w:val="none" w:sz="0" w:space="0" w:color="auto"/>
          </w:divBdr>
        </w:div>
        <w:div w:id="193667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http://hudoc.echr.coe.int" TargetMode="External"/><Relationship Id="rId18" Type="http://schemas.openxmlformats.org/officeDocument/2006/relationships/hyperlink" Target="http://www.coe.int/humanrightstrustfund"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e.int/humanrightstrustfund" TargetMode="External"/><Relationship Id="rId12" Type="http://schemas.openxmlformats.org/officeDocument/2006/relationships/hyperlink" Target="http://www.coe.int/humanrightstrustfund" TargetMode="External"/><Relationship Id="rId17" Type="http://schemas.openxmlformats.org/officeDocument/2006/relationships/hyperlink" Target="mailto:publishing@echr.coe.int"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hudoc.echr.coe.int" TargetMode="External"/><Relationship Id="rId20" Type="http://schemas.openxmlformats.org/officeDocument/2006/relationships/hyperlink" Target="mailto:publishing@echr.coe.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e.int/humanrightstrustfund"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hudoc.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mailto:publishing@echr.coe.int" TargetMode="External"/><Relationship Id="rId22" Type="http://schemas.openxmlformats.org/officeDocument/2006/relationships/header" Target="header4.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58ED0-C2E5-4093-9AF7-EE545DB11C78}"/>
</file>

<file path=customXml/itemProps2.xml><?xml version="1.0" encoding="utf-8"?>
<ds:datastoreItem xmlns:ds="http://schemas.openxmlformats.org/officeDocument/2006/customXml" ds:itemID="{43551F93-1D86-444A-BA65-9592E6F42BA7}"/>
</file>

<file path=customXml/itemProps3.xml><?xml version="1.0" encoding="utf-8"?>
<ds:datastoreItem xmlns:ds="http://schemas.openxmlformats.org/officeDocument/2006/customXml" ds:itemID="{5696BF84-EB53-4321-A94B-E0921FB55DAF}"/>
</file>

<file path=docProps/app.xml><?xml version="1.0" encoding="utf-8"?>
<Properties xmlns="http://schemas.openxmlformats.org/officeDocument/2006/extended-properties" xmlns:vt="http://schemas.openxmlformats.org/officeDocument/2006/docPropsVTypes">
  <Template>Normal.dotm</Template>
  <TotalTime>5</TotalTime>
  <Pages>1</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42459</CharactersWithSpaces>
  <SharedDoc>false</SharedDoc>
  <HLinks>
    <vt:vector size="72" baseType="variant">
      <vt:variant>
        <vt:i4>5570594</vt:i4>
      </vt:variant>
      <vt:variant>
        <vt:i4>237</vt:i4>
      </vt:variant>
      <vt:variant>
        <vt:i4>0</vt:i4>
      </vt:variant>
      <vt:variant>
        <vt:i4>5</vt:i4>
      </vt:variant>
      <vt:variant>
        <vt:lpwstr>mailto:publishing@echr.coe.int</vt:lpwstr>
      </vt:variant>
      <vt:variant>
        <vt:lpwstr/>
      </vt:variant>
      <vt:variant>
        <vt:i4>6750263</vt:i4>
      </vt:variant>
      <vt:variant>
        <vt:i4>234</vt:i4>
      </vt:variant>
      <vt:variant>
        <vt:i4>0</vt:i4>
      </vt:variant>
      <vt:variant>
        <vt:i4>5</vt:i4>
      </vt:variant>
      <vt:variant>
        <vt:lpwstr>http://hudoc.echr.coe.int/</vt:lpwstr>
      </vt:variant>
      <vt:variant>
        <vt:lpwstr/>
      </vt:variant>
      <vt:variant>
        <vt:i4>2097189</vt:i4>
      </vt:variant>
      <vt:variant>
        <vt:i4>231</vt:i4>
      </vt:variant>
      <vt:variant>
        <vt:i4>0</vt:i4>
      </vt:variant>
      <vt:variant>
        <vt:i4>5</vt:i4>
      </vt:variant>
      <vt:variant>
        <vt:lpwstr>http://www.coe.int/humanrightstrustfund</vt:lpwstr>
      </vt:variant>
      <vt:variant>
        <vt:lpwstr/>
      </vt:variant>
      <vt:variant>
        <vt:i4>5570594</vt:i4>
      </vt:variant>
      <vt:variant>
        <vt:i4>228</vt:i4>
      </vt:variant>
      <vt:variant>
        <vt:i4>0</vt:i4>
      </vt:variant>
      <vt:variant>
        <vt:i4>5</vt:i4>
      </vt:variant>
      <vt:variant>
        <vt:lpwstr>mailto:publishing@echr.coe.int</vt:lpwstr>
      </vt:variant>
      <vt:variant>
        <vt:lpwstr/>
      </vt:variant>
      <vt:variant>
        <vt:i4>6750263</vt:i4>
      </vt:variant>
      <vt:variant>
        <vt:i4>225</vt:i4>
      </vt:variant>
      <vt:variant>
        <vt:i4>0</vt:i4>
      </vt:variant>
      <vt:variant>
        <vt:i4>5</vt:i4>
      </vt:variant>
      <vt:variant>
        <vt:lpwstr>http://hudoc.echr.coe.int/</vt:lpwstr>
      </vt:variant>
      <vt:variant>
        <vt:lpwstr/>
      </vt:variant>
      <vt:variant>
        <vt:i4>2097189</vt:i4>
      </vt:variant>
      <vt:variant>
        <vt:i4>222</vt:i4>
      </vt:variant>
      <vt:variant>
        <vt:i4>0</vt:i4>
      </vt:variant>
      <vt:variant>
        <vt:i4>5</vt:i4>
      </vt:variant>
      <vt:variant>
        <vt:lpwstr>http://www.coe.int/humanrightstrustfund</vt:lpwstr>
      </vt:variant>
      <vt:variant>
        <vt:lpwstr/>
      </vt:variant>
      <vt:variant>
        <vt:i4>5570594</vt:i4>
      </vt:variant>
      <vt:variant>
        <vt:i4>219</vt:i4>
      </vt:variant>
      <vt:variant>
        <vt:i4>0</vt:i4>
      </vt:variant>
      <vt:variant>
        <vt:i4>5</vt:i4>
      </vt:variant>
      <vt:variant>
        <vt:lpwstr>mailto:publishing@echr.coe.int</vt:lpwstr>
      </vt:variant>
      <vt:variant>
        <vt:lpwstr/>
      </vt:variant>
      <vt:variant>
        <vt:i4>6750263</vt:i4>
      </vt:variant>
      <vt:variant>
        <vt:i4>216</vt:i4>
      </vt:variant>
      <vt:variant>
        <vt:i4>0</vt:i4>
      </vt:variant>
      <vt:variant>
        <vt:i4>5</vt:i4>
      </vt:variant>
      <vt:variant>
        <vt:lpwstr>http://hudoc.echr.coe.int/</vt:lpwstr>
      </vt:variant>
      <vt:variant>
        <vt:lpwstr/>
      </vt:variant>
      <vt:variant>
        <vt:i4>2097189</vt:i4>
      </vt:variant>
      <vt:variant>
        <vt:i4>213</vt:i4>
      </vt:variant>
      <vt:variant>
        <vt:i4>0</vt:i4>
      </vt:variant>
      <vt:variant>
        <vt:i4>5</vt:i4>
      </vt:variant>
      <vt:variant>
        <vt:lpwstr>http://www.coe.int/humanrightstrustfund</vt:lpwstr>
      </vt:variant>
      <vt:variant>
        <vt:lpwstr/>
      </vt:variant>
      <vt:variant>
        <vt:i4>2097189</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cp:lastModifiedBy/>
  <cp:revision>4</cp:revision>
  <cp:lastPrinted>2012-08-30T16:55:00Z</cp:lastPrinted>
  <dcterms:created xsi:type="dcterms:W3CDTF">2019-02-20T14:46:00Z</dcterms:created>
  <dcterms:modified xsi:type="dcterms:W3CDTF">2019-02-20T14:46:00Z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